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62C6C12">
      <w:pPr>
        <w:spacing w:line="576" w:lineRule="exact"/>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附件：</w:t>
      </w:r>
    </w:p>
    <w:p w14:paraId="729469D7">
      <w:pPr>
        <w:spacing w:line="576" w:lineRule="exact"/>
        <w:jc w:val="center"/>
        <w:rPr>
          <w:rFonts w:hint="eastAsia" w:ascii="仿宋_GB2312" w:hAnsi="仿宋_GB2312" w:eastAsia="仿宋_GB2312" w:cs="仿宋_GB2312"/>
          <w:kern w:val="2"/>
          <w:sz w:val="32"/>
          <w:szCs w:val="32"/>
          <w:lang w:val="en-US" w:eastAsia="zh-CN" w:bidi="ar-SA"/>
        </w:rPr>
      </w:pPr>
      <w:bookmarkStart w:id="0" w:name="_GoBack"/>
      <w:r>
        <w:rPr>
          <w:rFonts w:hint="eastAsia" w:ascii="仿宋_GB2312" w:hAnsi="仿宋_GB2312" w:eastAsia="仿宋_GB2312" w:cs="仿宋_GB2312"/>
          <w:kern w:val="2"/>
          <w:sz w:val="32"/>
          <w:szCs w:val="32"/>
          <w:lang w:val="en-US" w:eastAsia="zh-CN" w:bidi="ar-SA"/>
        </w:rPr>
        <w:t>评选评分表</w:t>
      </w:r>
      <w:bookmarkEnd w:id="0"/>
      <w:r>
        <w:rPr>
          <w:rFonts w:hint="eastAsia" w:ascii="仿宋_GB2312" w:hAnsi="仿宋_GB2312" w:eastAsia="仿宋_GB2312" w:cs="仿宋_GB2312"/>
          <w:kern w:val="2"/>
          <w:sz w:val="32"/>
          <w:szCs w:val="32"/>
          <w:lang w:val="en-US" w:eastAsia="zh-CN" w:bidi="ar-SA"/>
        </w:rPr>
        <w:t xml:space="preserve"> </w:t>
      </w:r>
    </w:p>
    <w:tbl>
      <w:tblPr>
        <w:tblStyle w:val="5"/>
        <w:tblW w:w="14275" w:type="dxa"/>
        <w:tblInd w:w="-10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75"/>
        <w:gridCol w:w="1138"/>
        <w:gridCol w:w="662"/>
        <w:gridCol w:w="10563"/>
        <w:gridCol w:w="1137"/>
      </w:tblGrid>
      <w:tr w14:paraId="68CE58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59" w:hRule="atLeast"/>
        </w:trPr>
        <w:tc>
          <w:tcPr>
            <w:tcW w:w="775" w:type="dxa"/>
            <w:noWrap w:val="0"/>
            <w:vAlign w:val="center"/>
          </w:tcPr>
          <w:p w14:paraId="58C1A3CB">
            <w:pPr>
              <w:jc w:val="center"/>
              <w:rPr>
                <w:b/>
                <w:sz w:val="20"/>
                <w:szCs w:val="22"/>
              </w:rPr>
            </w:pPr>
            <w:r>
              <w:rPr>
                <w:rFonts w:hint="eastAsia"/>
                <w:b/>
                <w:sz w:val="20"/>
                <w:szCs w:val="22"/>
              </w:rPr>
              <w:t>序号</w:t>
            </w:r>
          </w:p>
        </w:tc>
        <w:tc>
          <w:tcPr>
            <w:tcW w:w="1138" w:type="dxa"/>
            <w:noWrap w:val="0"/>
            <w:vAlign w:val="center"/>
          </w:tcPr>
          <w:p w14:paraId="0E9F6F23">
            <w:pPr>
              <w:jc w:val="center"/>
              <w:rPr>
                <w:b/>
                <w:sz w:val="20"/>
                <w:szCs w:val="22"/>
              </w:rPr>
            </w:pPr>
            <w:r>
              <w:rPr>
                <w:rFonts w:hint="eastAsia"/>
                <w:b/>
                <w:sz w:val="20"/>
                <w:szCs w:val="22"/>
              </w:rPr>
              <w:t>评审因素</w:t>
            </w:r>
          </w:p>
        </w:tc>
        <w:tc>
          <w:tcPr>
            <w:tcW w:w="662" w:type="dxa"/>
            <w:noWrap w:val="0"/>
            <w:vAlign w:val="center"/>
          </w:tcPr>
          <w:p w14:paraId="49635E3A">
            <w:pPr>
              <w:jc w:val="center"/>
              <w:rPr>
                <w:b/>
                <w:sz w:val="20"/>
                <w:szCs w:val="22"/>
              </w:rPr>
            </w:pPr>
            <w:r>
              <w:rPr>
                <w:rFonts w:hint="eastAsia"/>
                <w:b/>
                <w:sz w:val="20"/>
                <w:szCs w:val="22"/>
              </w:rPr>
              <w:t>分值</w:t>
            </w:r>
          </w:p>
        </w:tc>
        <w:tc>
          <w:tcPr>
            <w:tcW w:w="10563" w:type="dxa"/>
            <w:noWrap w:val="0"/>
            <w:vAlign w:val="center"/>
          </w:tcPr>
          <w:p w14:paraId="2E35BFBE">
            <w:pPr>
              <w:jc w:val="center"/>
              <w:rPr>
                <w:b/>
                <w:sz w:val="20"/>
                <w:szCs w:val="22"/>
              </w:rPr>
            </w:pPr>
            <w:r>
              <w:rPr>
                <w:rFonts w:hint="eastAsia"/>
                <w:b/>
                <w:sz w:val="20"/>
                <w:szCs w:val="22"/>
              </w:rPr>
              <w:t>评分标准</w:t>
            </w:r>
          </w:p>
        </w:tc>
        <w:tc>
          <w:tcPr>
            <w:tcW w:w="1137" w:type="dxa"/>
            <w:noWrap w:val="0"/>
            <w:vAlign w:val="center"/>
          </w:tcPr>
          <w:p w14:paraId="47545C13">
            <w:pPr>
              <w:jc w:val="center"/>
              <w:rPr>
                <w:b/>
                <w:sz w:val="20"/>
                <w:szCs w:val="22"/>
              </w:rPr>
            </w:pPr>
            <w:r>
              <w:rPr>
                <w:rFonts w:hint="eastAsia"/>
                <w:b/>
                <w:sz w:val="20"/>
                <w:szCs w:val="22"/>
              </w:rPr>
              <w:t>所得分值</w:t>
            </w:r>
          </w:p>
        </w:tc>
      </w:tr>
      <w:tr w14:paraId="104AAA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5" w:hRule="atLeast"/>
        </w:trPr>
        <w:tc>
          <w:tcPr>
            <w:tcW w:w="775" w:type="dxa"/>
            <w:noWrap w:val="0"/>
            <w:vAlign w:val="center"/>
          </w:tcPr>
          <w:p w14:paraId="3F86D007">
            <w:pPr>
              <w:jc w:val="center"/>
              <w:rPr>
                <w:sz w:val="20"/>
                <w:szCs w:val="22"/>
              </w:rPr>
            </w:pPr>
            <w:r>
              <w:rPr>
                <w:rFonts w:hint="eastAsia"/>
                <w:sz w:val="20"/>
                <w:szCs w:val="22"/>
              </w:rPr>
              <w:t>1</w:t>
            </w:r>
          </w:p>
        </w:tc>
        <w:tc>
          <w:tcPr>
            <w:tcW w:w="1138" w:type="dxa"/>
            <w:noWrap w:val="0"/>
            <w:vAlign w:val="center"/>
          </w:tcPr>
          <w:p w14:paraId="13D2AE75">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 w:hAnsi="仿宋" w:eastAsia="仿宋" w:cs="仿宋"/>
                <w:sz w:val="22"/>
                <w:szCs w:val="22"/>
                <w:lang w:val="en-US" w:eastAsia="zh-CN"/>
              </w:rPr>
            </w:pPr>
            <w:r>
              <w:rPr>
                <w:rFonts w:hint="eastAsia" w:ascii="仿宋" w:hAnsi="仿宋" w:eastAsia="仿宋" w:cs="仿宋"/>
                <w:sz w:val="22"/>
                <w:szCs w:val="22"/>
              </w:rPr>
              <w:t>报价</w:t>
            </w:r>
          </w:p>
        </w:tc>
        <w:tc>
          <w:tcPr>
            <w:tcW w:w="662" w:type="dxa"/>
            <w:noWrap w:val="0"/>
            <w:vAlign w:val="center"/>
          </w:tcPr>
          <w:p w14:paraId="45D51AB8">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 w:hAnsi="仿宋" w:eastAsia="仿宋" w:cs="仿宋"/>
                <w:sz w:val="22"/>
                <w:szCs w:val="22"/>
                <w:lang w:val="en-US" w:eastAsia="zh-CN"/>
              </w:rPr>
            </w:pPr>
            <w:r>
              <w:rPr>
                <w:rFonts w:hint="eastAsia" w:ascii="仿宋" w:hAnsi="仿宋" w:eastAsia="仿宋" w:cs="仿宋"/>
                <w:sz w:val="22"/>
                <w:szCs w:val="22"/>
                <w:lang w:val="en-US" w:eastAsia="zh-CN"/>
              </w:rPr>
              <w:t>30</w:t>
            </w:r>
          </w:p>
        </w:tc>
        <w:tc>
          <w:tcPr>
            <w:tcW w:w="10563" w:type="dxa"/>
            <w:noWrap w:val="0"/>
            <w:vAlign w:val="center"/>
          </w:tcPr>
          <w:p w14:paraId="5E62A606">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仿宋" w:hAnsi="仿宋" w:eastAsia="仿宋" w:cs="仿宋"/>
                <w:sz w:val="22"/>
                <w:szCs w:val="22"/>
                <w:highlight w:val="none"/>
                <w:lang w:val="en-US" w:eastAsia="zh-CN"/>
              </w:rPr>
            </w:pPr>
            <w:r>
              <w:rPr>
                <w:rFonts w:hint="eastAsia" w:ascii="仿宋" w:hAnsi="仿宋" w:eastAsia="仿宋" w:cs="仿宋"/>
                <w:sz w:val="22"/>
                <w:szCs w:val="22"/>
                <w:highlight w:val="none"/>
              </w:rPr>
              <w:t>评审小组只对资格和符合性检查合格的响应文件进行价格评议，按</w:t>
            </w:r>
            <w:r>
              <w:rPr>
                <w:rFonts w:hint="eastAsia" w:ascii="仿宋" w:hAnsi="仿宋" w:eastAsia="仿宋" w:cs="仿宋"/>
                <w:sz w:val="22"/>
                <w:szCs w:val="22"/>
                <w:highlight w:val="none"/>
                <w:lang w:eastAsia="zh-CN"/>
              </w:rPr>
              <w:t>合计报价</w:t>
            </w:r>
            <w:r>
              <w:rPr>
                <w:rFonts w:hint="eastAsia" w:ascii="仿宋" w:hAnsi="仿宋" w:eastAsia="仿宋" w:cs="仿宋"/>
                <w:sz w:val="22"/>
                <w:szCs w:val="22"/>
                <w:highlight w:val="none"/>
              </w:rPr>
              <w:t>高低排序，报价最低者得</w:t>
            </w:r>
            <w:r>
              <w:rPr>
                <w:rFonts w:hint="eastAsia" w:ascii="仿宋" w:hAnsi="仿宋" w:eastAsia="仿宋" w:cs="仿宋"/>
                <w:sz w:val="22"/>
                <w:szCs w:val="22"/>
                <w:highlight w:val="none"/>
                <w:lang w:val="en-US" w:eastAsia="zh-CN"/>
              </w:rPr>
              <w:t>20</w:t>
            </w:r>
            <w:r>
              <w:rPr>
                <w:rFonts w:hint="eastAsia" w:ascii="仿宋" w:hAnsi="仿宋" w:eastAsia="仿宋" w:cs="仿宋"/>
                <w:sz w:val="22"/>
                <w:szCs w:val="22"/>
                <w:highlight w:val="none"/>
              </w:rPr>
              <w:t>分，第二名得</w:t>
            </w:r>
            <w:r>
              <w:rPr>
                <w:rFonts w:hint="eastAsia" w:ascii="仿宋" w:hAnsi="仿宋" w:eastAsia="仿宋" w:cs="仿宋"/>
                <w:sz w:val="22"/>
                <w:szCs w:val="22"/>
                <w:highlight w:val="none"/>
                <w:lang w:val="en-US" w:eastAsia="zh-CN"/>
              </w:rPr>
              <w:t>18</w:t>
            </w:r>
            <w:r>
              <w:rPr>
                <w:rFonts w:hint="eastAsia" w:ascii="仿宋" w:hAnsi="仿宋" w:eastAsia="仿宋" w:cs="仿宋"/>
                <w:sz w:val="22"/>
                <w:szCs w:val="22"/>
                <w:highlight w:val="none"/>
              </w:rPr>
              <w:t>分，第三名得</w:t>
            </w:r>
            <w:r>
              <w:rPr>
                <w:rFonts w:hint="eastAsia" w:ascii="仿宋" w:hAnsi="仿宋" w:eastAsia="仿宋" w:cs="仿宋"/>
                <w:sz w:val="22"/>
                <w:szCs w:val="22"/>
                <w:highlight w:val="none"/>
                <w:lang w:val="en-US" w:eastAsia="zh-CN"/>
              </w:rPr>
              <w:t>16</w:t>
            </w:r>
            <w:r>
              <w:rPr>
                <w:rFonts w:hint="eastAsia" w:ascii="仿宋" w:hAnsi="仿宋" w:eastAsia="仿宋" w:cs="仿宋"/>
                <w:sz w:val="22"/>
                <w:szCs w:val="22"/>
                <w:highlight w:val="none"/>
              </w:rPr>
              <w:t>分,每降低一个名次降低2分，以此类推。</w:t>
            </w:r>
          </w:p>
        </w:tc>
        <w:tc>
          <w:tcPr>
            <w:tcW w:w="1137" w:type="dxa"/>
            <w:noWrap w:val="0"/>
            <w:vAlign w:val="center"/>
          </w:tcPr>
          <w:p w14:paraId="0FCCFF62">
            <w:pPr>
              <w:jc w:val="center"/>
              <w:rPr>
                <w:sz w:val="20"/>
                <w:szCs w:val="22"/>
              </w:rPr>
            </w:pPr>
          </w:p>
        </w:tc>
      </w:tr>
      <w:tr w14:paraId="578B49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2" w:hRule="atLeast"/>
        </w:trPr>
        <w:tc>
          <w:tcPr>
            <w:tcW w:w="775" w:type="dxa"/>
            <w:noWrap w:val="0"/>
            <w:vAlign w:val="center"/>
          </w:tcPr>
          <w:p w14:paraId="5E26C323">
            <w:pPr>
              <w:jc w:val="center"/>
              <w:rPr>
                <w:sz w:val="20"/>
                <w:szCs w:val="22"/>
              </w:rPr>
            </w:pPr>
            <w:r>
              <w:rPr>
                <w:rFonts w:hint="eastAsia"/>
                <w:sz w:val="20"/>
                <w:szCs w:val="22"/>
              </w:rPr>
              <w:t>2</w:t>
            </w:r>
          </w:p>
        </w:tc>
        <w:tc>
          <w:tcPr>
            <w:tcW w:w="1138" w:type="dxa"/>
            <w:noWrap w:val="0"/>
            <w:vAlign w:val="center"/>
          </w:tcPr>
          <w:p w14:paraId="4A56C24F">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 w:hAnsi="仿宋" w:eastAsia="仿宋" w:cs="仿宋"/>
                <w:sz w:val="22"/>
                <w:szCs w:val="22"/>
              </w:rPr>
            </w:pPr>
            <w:r>
              <w:rPr>
                <w:rFonts w:hint="eastAsia" w:ascii="仿宋" w:hAnsi="仿宋" w:eastAsia="仿宋" w:cs="仿宋"/>
                <w:sz w:val="22"/>
                <w:szCs w:val="22"/>
              </w:rPr>
              <w:t>供应商基本情况</w:t>
            </w:r>
          </w:p>
        </w:tc>
        <w:tc>
          <w:tcPr>
            <w:tcW w:w="662" w:type="dxa"/>
            <w:noWrap w:val="0"/>
            <w:vAlign w:val="center"/>
          </w:tcPr>
          <w:p w14:paraId="1BB06D78">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 w:hAnsi="仿宋" w:eastAsia="仿宋" w:cs="仿宋"/>
                <w:sz w:val="22"/>
                <w:szCs w:val="22"/>
                <w:lang w:val="en-US" w:eastAsia="zh-CN"/>
              </w:rPr>
            </w:pPr>
            <w:r>
              <w:rPr>
                <w:rFonts w:hint="eastAsia" w:ascii="仿宋" w:hAnsi="仿宋" w:eastAsia="仿宋" w:cs="仿宋"/>
                <w:sz w:val="22"/>
                <w:szCs w:val="22"/>
                <w:lang w:val="en-US" w:eastAsia="zh-CN"/>
              </w:rPr>
              <w:t>20</w:t>
            </w:r>
          </w:p>
        </w:tc>
        <w:tc>
          <w:tcPr>
            <w:tcW w:w="10563" w:type="dxa"/>
            <w:noWrap w:val="0"/>
            <w:vAlign w:val="center"/>
          </w:tcPr>
          <w:p w14:paraId="4F788AD4">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仿宋" w:hAnsi="仿宋" w:eastAsia="仿宋" w:cs="仿宋"/>
                <w:sz w:val="22"/>
                <w:szCs w:val="22"/>
                <w:highlight w:val="none"/>
              </w:rPr>
            </w:pPr>
            <w:r>
              <w:rPr>
                <w:rFonts w:hint="eastAsia" w:ascii="仿宋" w:hAnsi="仿宋" w:eastAsia="仿宋" w:cs="仿宋"/>
                <w:sz w:val="22"/>
                <w:szCs w:val="22"/>
                <w:highlight w:val="none"/>
              </w:rPr>
              <w:t>供应商介绍、服务水平、公司信誉、企业地址等基本情况描述</w:t>
            </w:r>
            <w:r>
              <w:rPr>
                <w:rFonts w:hint="eastAsia" w:ascii="仿宋" w:hAnsi="仿宋" w:eastAsia="仿宋" w:cs="仿宋"/>
                <w:sz w:val="22"/>
                <w:szCs w:val="22"/>
                <w:highlight w:val="none"/>
                <w:lang w:val="en-US" w:eastAsia="zh-CN"/>
              </w:rPr>
              <w:t xml:space="preserve"> 5分；提供道路运输企业主要负责人和安全生产管理人员安全考核合格证明2人以上的得10分；提供客车租赁经营备案表的得5分 。</w:t>
            </w:r>
          </w:p>
        </w:tc>
        <w:tc>
          <w:tcPr>
            <w:tcW w:w="1137" w:type="dxa"/>
            <w:noWrap w:val="0"/>
            <w:vAlign w:val="center"/>
          </w:tcPr>
          <w:p w14:paraId="3F00252E">
            <w:pPr>
              <w:jc w:val="center"/>
              <w:rPr>
                <w:sz w:val="20"/>
                <w:szCs w:val="22"/>
              </w:rPr>
            </w:pPr>
          </w:p>
        </w:tc>
      </w:tr>
      <w:tr w14:paraId="2435D6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875" w:hRule="atLeast"/>
        </w:trPr>
        <w:tc>
          <w:tcPr>
            <w:tcW w:w="775" w:type="dxa"/>
            <w:noWrap w:val="0"/>
            <w:vAlign w:val="center"/>
          </w:tcPr>
          <w:p w14:paraId="0C74E3E7">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 w:hAnsi="仿宋" w:eastAsia="仿宋" w:cs="仿宋"/>
                <w:sz w:val="22"/>
                <w:szCs w:val="22"/>
                <w:lang w:val="en-US" w:eastAsia="zh-CN"/>
              </w:rPr>
            </w:pPr>
            <w:r>
              <w:rPr>
                <w:rFonts w:hint="eastAsia" w:ascii="仿宋" w:hAnsi="仿宋" w:eastAsia="仿宋" w:cs="仿宋"/>
                <w:sz w:val="22"/>
                <w:szCs w:val="22"/>
              </w:rPr>
              <w:t>3</w:t>
            </w:r>
          </w:p>
        </w:tc>
        <w:tc>
          <w:tcPr>
            <w:tcW w:w="1138" w:type="dxa"/>
            <w:noWrap w:val="0"/>
            <w:vAlign w:val="center"/>
          </w:tcPr>
          <w:p w14:paraId="537673CA">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 w:hAnsi="仿宋" w:eastAsia="仿宋" w:cs="仿宋"/>
                <w:sz w:val="22"/>
                <w:szCs w:val="22"/>
              </w:rPr>
            </w:pPr>
            <w:r>
              <w:rPr>
                <w:rFonts w:hint="eastAsia" w:ascii="仿宋" w:hAnsi="仿宋" w:eastAsia="仿宋" w:cs="仿宋"/>
                <w:sz w:val="22"/>
                <w:szCs w:val="22"/>
              </w:rPr>
              <w:t>服务方案</w:t>
            </w:r>
          </w:p>
        </w:tc>
        <w:tc>
          <w:tcPr>
            <w:tcW w:w="662" w:type="dxa"/>
            <w:noWrap w:val="0"/>
            <w:vAlign w:val="center"/>
          </w:tcPr>
          <w:p w14:paraId="215A8445">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 w:hAnsi="仿宋" w:eastAsia="仿宋" w:cs="仿宋"/>
                <w:sz w:val="22"/>
                <w:szCs w:val="22"/>
                <w:lang w:val="en-US" w:eastAsia="zh-CN"/>
              </w:rPr>
            </w:pPr>
            <w:r>
              <w:rPr>
                <w:rFonts w:hint="eastAsia" w:ascii="仿宋" w:hAnsi="仿宋" w:eastAsia="仿宋" w:cs="仿宋"/>
                <w:sz w:val="22"/>
                <w:szCs w:val="22"/>
                <w:lang w:val="en-US" w:eastAsia="zh-CN"/>
              </w:rPr>
              <w:t>20</w:t>
            </w:r>
          </w:p>
        </w:tc>
        <w:tc>
          <w:tcPr>
            <w:tcW w:w="10563" w:type="dxa"/>
            <w:noWrap w:val="0"/>
            <w:vAlign w:val="center"/>
          </w:tcPr>
          <w:p w14:paraId="40B412B6">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仿宋" w:hAnsi="仿宋" w:eastAsia="仿宋" w:cs="仿宋"/>
                <w:sz w:val="22"/>
                <w:szCs w:val="22"/>
                <w:lang w:val="en-US" w:eastAsia="zh-CN"/>
              </w:rPr>
            </w:pPr>
            <w:r>
              <w:rPr>
                <w:rFonts w:hint="eastAsia" w:ascii="仿宋" w:hAnsi="仿宋" w:eastAsia="仿宋" w:cs="仿宋"/>
                <w:sz w:val="22"/>
                <w:szCs w:val="22"/>
              </w:rPr>
              <w:t>提供针对本项目的服务方案,包括但不限于:</w:t>
            </w:r>
            <w:r>
              <w:rPr>
                <w:rFonts w:hint="default" w:ascii="仿宋" w:hAnsi="仿宋" w:eastAsia="仿宋" w:cs="仿宋"/>
                <w:sz w:val="22"/>
                <w:szCs w:val="22"/>
              </w:rPr>
              <w:t>①</w:t>
            </w:r>
            <w:r>
              <w:rPr>
                <w:rFonts w:hint="eastAsia" w:ascii="仿宋" w:hAnsi="仿宋" w:eastAsia="仿宋" w:cs="仿宋"/>
                <w:sz w:val="22"/>
                <w:szCs w:val="22"/>
              </w:rPr>
              <w:t>车辆调度管理方案;②车辆维修和维护保养方案;③车辆性能质量保障方案</w:t>
            </w:r>
            <w:r>
              <w:rPr>
                <w:rFonts w:hint="eastAsia" w:ascii="仿宋" w:hAnsi="仿宋" w:eastAsia="仿宋" w:cs="仿宋"/>
                <w:sz w:val="22"/>
                <w:szCs w:val="22"/>
                <w:lang w:eastAsia="zh-CN"/>
              </w:rPr>
              <w:t>（</w:t>
            </w:r>
            <w:r>
              <w:rPr>
                <w:rFonts w:hint="eastAsia" w:ascii="仿宋" w:hAnsi="仿宋" w:eastAsia="仿宋" w:cs="仿宋"/>
                <w:sz w:val="22"/>
                <w:szCs w:val="22"/>
                <w:lang w:val="en-US" w:eastAsia="zh-CN"/>
              </w:rPr>
              <w:t>包括但不限于车龄等情况</w:t>
            </w:r>
            <w:r>
              <w:rPr>
                <w:rFonts w:hint="eastAsia" w:ascii="仿宋" w:hAnsi="仿宋" w:eastAsia="仿宋" w:cs="仿宋"/>
                <w:sz w:val="22"/>
                <w:szCs w:val="22"/>
                <w:lang w:eastAsia="zh-CN"/>
              </w:rPr>
              <w:t>）</w:t>
            </w:r>
            <w:r>
              <w:rPr>
                <w:rFonts w:hint="eastAsia" w:ascii="仿宋" w:hAnsi="仿宋" w:eastAsia="仿宋" w:cs="仿宋"/>
                <w:sz w:val="22"/>
                <w:szCs w:val="22"/>
              </w:rPr>
              <w:t>;④用户投诉处理方案;⑤服务质量保障方案;⑥应急方案;⑦保密方案等内容</w:t>
            </w:r>
            <w:r>
              <w:rPr>
                <w:rFonts w:hint="eastAsia" w:ascii="仿宋" w:hAnsi="仿宋" w:eastAsia="仿宋" w:cs="仿宋"/>
                <w:sz w:val="22"/>
                <w:szCs w:val="22"/>
                <w:lang w:val="en-US" w:eastAsia="zh-CN"/>
              </w:rPr>
              <w:t>;</w:t>
            </w:r>
          </w:p>
          <w:p w14:paraId="1B55ED57">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仿宋" w:hAnsi="仿宋" w:eastAsia="仿宋" w:cs="仿宋"/>
                <w:sz w:val="22"/>
                <w:szCs w:val="22"/>
              </w:rPr>
            </w:pPr>
            <w:r>
              <w:rPr>
                <w:rFonts w:hint="eastAsia" w:ascii="仿宋" w:hAnsi="仿宋" w:eastAsia="仿宋" w:cs="仿宋"/>
                <w:sz w:val="22"/>
                <w:szCs w:val="22"/>
              </w:rPr>
              <w:t>方案内容完整,符合本项目实际需求的得</w:t>
            </w:r>
            <w:r>
              <w:rPr>
                <w:rFonts w:hint="eastAsia" w:ascii="仿宋" w:hAnsi="仿宋" w:eastAsia="仿宋" w:cs="仿宋"/>
                <w:sz w:val="22"/>
                <w:szCs w:val="22"/>
                <w:lang w:val="en-US" w:eastAsia="zh-CN"/>
              </w:rPr>
              <w:t>20</w:t>
            </w:r>
            <w:r>
              <w:rPr>
                <w:rFonts w:hint="eastAsia" w:ascii="仿宋" w:hAnsi="仿宋" w:eastAsia="仿宋" w:cs="仿宋"/>
                <w:sz w:val="22"/>
                <w:szCs w:val="22"/>
              </w:rPr>
              <w:t>分，每有</w:t>
            </w:r>
            <w:r>
              <w:rPr>
                <w:rFonts w:hint="eastAsia" w:ascii="仿宋" w:hAnsi="仿宋" w:eastAsia="仿宋" w:cs="仿宋"/>
                <w:sz w:val="22"/>
                <w:szCs w:val="22"/>
                <w:lang w:val="en-US" w:eastAsia="zh-CN"/>
              </w:rPr>
              <w:t>一</w:t>
            </w:r>
            <w:r>
              <w:rPr>
                <w:rFonts w:hint="eastAsia" w:ascii="仿宋" w:hAnsi="仿宋" w:eastAsia="仿宋" w:cs="仿宋"/>
                <w:sz w:val="22"/>
                <w:szCs w:val="22"/>
              </w:rPr>
              <w:t>项内容缺失的扣5分,每有</w:t>
            </w:r>
            <w:r>
              <w:rPr>
                <w:rFonts w:hint="eastAsia" w:ascii="仿宋" w:hAnsi="仿宋" w:eastAsia="仿宋" w:cs="仿宋"/>
                <w:sz w:val="22"/>
                <w:szCs w:val="22"/>
                <w:lang w:val="en-US" w:eastAsia="zh-CN"/>
              </w:rPr>
              <w:t>一</w:t>
            </w:r>
            <w:r>
              <w:rPr>
                <w:rFonts w:hint="eastAsia" w:ascii="仿宋" w:hAnsi="仿宋" w:eastAsia="仿宋" w:cs="仿宋"/>
                <w:sz w:val="22"/>
                <w:szCs w:val="22"/>
              </w:rPr>
              <w:t>项内容存在缺陷扣</w:t>
            </w:r>
            <w:r>
              <w:rPr>
                <w:rFonts w:hint="eastAsia" w:ascii="仿宋" w:hAnsi="仿宋" w:eastAsia="仿宋" w:cs="仿宋"/>
                <w:sz w:val="22"/>
                <w:szCs w:val="22"/>
                <w:lang w:val="en-US" w:eastAsia="zh-CN"/>
              </w:rPr>
              <w:t>10</w:t>
            </w:r>
            <w:r>
              <w:rPr>
                <w:rFonts w:hint="eastAsia" w:ascii="仿宋" w:hAnsi="仿宋" w:eastAsia="仿宋" w:cs="仿宋"/>
                <w:sz w:val="22"/>
                <w:szCs w:val="22"/>
              </w:rPr>
              <w:t>分(缺陷是指方案内容与项目需求不符、不利于项目实施、内容不完整、内容前后矛盾</w:t>
            </w:r>
            <w:r>
              <w:rPr>
                <w:rFonts w:hint="eastAsia" w:ascii="仿宋" w:hAnsi="仿宋" w:eastAsia="仿宋" w:cs="仿宋"/>
                <w:sz w:val="22"/>
                <w:szCs w:val="22"/>
                <w:lang w:eastAsia="zh-CN"/>
              </w:rPr>
              <w:t>，</w:t>
            </w:r>
            <w:r>
              <w:rPr>
                <w:rFonts w:hint="eastAsia" w:ascii="仿宋" w:hAnsi="仿宋" w:eastAsia="仿宋" w:cs="仿宋"/>
                <w:sz w:val="22"/>
                <w:szCs w:val="22"/>
              </w:rPr>
              <w:t>方案内容存在逻辑或原理错误等任一情形)。</w:t>
            </w:r>
          </w:p>
        </w:tc>
        <w:tc>
          <w:tcPr>
            <w:tcW w:w="1137" w:type="dxa"/>
            <w:noWrap w:val="0"/>
            <w:vAlign w:val="center"/>
          </w:tcPr>
          <w:p w14:paraId="347D84D8">
            <w:pPr>
              <w:jc w:val="center"/>
              <w:rPr>
                <w:sz w:val="20"/>
                <w:szCs w:val="22"/>
              </w:rPr>
            </w:pPr>
          </w:p>
        </w:tc>
      </w:tr>
      <w:tr w14:paraId="15122C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29" w:hRule="atLeast"/>
        </w:trPr>
        <w:tc>
          <w:tcPr>
            <w:tcW w:w="775" w:type="dxa"/>
            <w:noWrap w:val="0"/>
            <w:vAlign w:val="center"/>
          </w:tcPr>
          <w:p w14:paraId="191806FB">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4</w:t>
            </w:r>
          </w:p>
        </w:tc>
        <w:tc>
          <w:tcPr>
            <w:tcW w:w="1138" w:type="dxa"/>
            <w:noWrap w:val="0"/>
            <w:vAlign w:val="center"/>
          </w:tcPr>
          <w:p w14:paraId="2A54CB06">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 w:hAnsi="仿宋" w:eastAsia="仿宋" w:cs="仿宋"/>
                <w:sz w:val="22"/>
                <w:szCs w:val="22"/>
              </w:rPr>
            </w:pPr>
            <w:r>
              <w:rPr>
                <w:rFonts w:hint="eastAsia" w:ascii="仿宋" w:hAnsi="仿宋" w:eastAsia="仿宋" w:cs="仿宋"/>
                <w:sz w:val="22"/>
                <w:szCs w:val="22"/>
              </w:rPr>
              <w:t>安全保障</w:t>
            </w:r>
          </w:p>
        </w:tc>
        <w:tc>
          <w:tcPr>
            <w:tcW w:w="662" w:type="dxa"/>
            <w:noWrap w:val="0"/>
            <w:vAlign w:val="center"/>
          </w:tcPr>
          <w:p w14:paraId="707113DE">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 w:hAnsi="仿宋" w:eastAsia="仿宋" w:cs="仿宋"/>
                <w:sz w:val="22"/>
                <w:szCs w:val="22"/>
                <w:lang w:val="en-US" w:eastAsia="zh-CN"/>
              </w:rPr>
            </w:pPr>
            <w:r>
              <w:rPr>
                <w:rFonts w:hint="eastAsia" w:ascii="仿宋" w:hAnsi="仿宋" w:eastAsia="仿宋" w:cs="仿宋"/>
                <w:sz w:val="22"/>
                <w:szCs w:val="22"/>
                <w:lang w:val="en-US" w:eastAsia="zh-CN"/>
              </w:rPr>
              <w:t>20</w:t>
            </w:r>
          </w:p>
        </w:tc>
        <w:tc>
          <w:tcPr>
            <w:tcW w:w="10563" w:type="dxa"/>
            <w:noWrap w:val="0"/>
            <w:vAlign w:val="center"/>
          </w:tcPr>
          <w:p w14:paraId="695ED12E">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仿宋" w:hAnsi="仿宋" w:eastAsia="仿宋" w:cs="仿宋"/>
                <w:sz w:val="22"/>
                <w:szCs w:val="22"/>
                <w:highlight w:val="none"/>
              </w:rPr>
            </w:pPr>
            <w:r>
              <w:rPr>
                <w:rFonts w:hint="eastAsia" w:ascii="仿宋" w:hAnsi="仿宋" w:eastAsia="仿宋" w:cs="仿宋"/>
                <w:sz w:val="22"/>
                <w:szCs w:val="22"/>
                <w:highlight w:val="none"/>
              </w:rPr>
              <w:t>根据供应商为本项目配备的车辆进行评分：</w:t>
            </w:r>
          </w:p>
          <w:p w14:paraId="07FE4451">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仿宋" w:hAnsi="仿宋" w:eastAsia="仿宋" w:cs="仿宋"/>
                <w:sz w:val="22"/>
                <w:szCs w:val="22"/>
                <w:highlight w:val="none"/>
              </w:rPr>
            </w:pPr>
            <w:r>
              <w:rPr>
                <w:rFonts w:hint="eastAsia" w:ascii="仿宋" w:hAnsi="仿宋" w:eastAsia="仿宋" w:cs="仿宋"/>
                <w:sz w:val="22"/>
                <w:szCs w:val="22"/>
                <w:highlight w:val="none"/>
              </w:rPr>
              <w:t>1、第三者责任保险保额：保额低于</w:t>
            </w:r>
            <w:r>
              <w:rPr>
                <w:rFonts w:hint="eastAsia" w:ascii="仿宋" w:hAnsi="仿宋" w:eastAsia="仿宋" w:cs="仿宋"/>
                <w:sz w:val="22"/>
                <w:szCs w:val="22"/>
                <w:highlight w:val="none"/>
                <w:lang w:val="en-US" w:eastAsia="zh-CN"/>
              </w:rPr>
              <w:t>3</w:t>
            </w:r>
            <w:r>
              <w:rPr>
                <w:rFonts w:hint="eastAsia" w:ascii="仿宋" w:hAnsi="仿宋" w:eastAsia="仿宋" w:cs="仿宋"/>
                <w:sz w:val="22"/>
                <w:szCs w:val="22"/>
                <w:highlight w:val="none"/>
              </w:rPr>
              <w:t>00万的不得分；</w:t>
            </w:r>
            <w:r>
              <w:rPr>
                <w:rFonts w:hint="eastAsia" w:ascii="仿宋" w:hAnsi="仿宋" w:eastAsia="仿宋" w:cs="仿宋"/>
                <w:sz w:val="22"/>
                <w:szCs w:val="22"/>
                <w:highlight w:val="none"/>
                <w:lang w:val="en-US" w:eastAsia="zh-CN"/>
              </w:rPr>
              <w:t>3</w:t>
            </w:r>
            <w:r>
              <w:rPr>
                <w:rFonts w:hint="eastAsia" w:ascii="仿宋" w:hAnsi="仿宋" w:eastAsia="仿宋" w:cs="仿宋"/>
                <w:sz w:val="22"/>
                <w:szCs w:val="22"/>
                <w:highlight w:val="none"/>
              </w:rPr>
              <w:t>00万元≤保额＜</w:t>
            </w:r>
            <w:r>
              <w:rPr>
                <w:rFonts w:hint="eastAsia" w:ascii="仿宋" w:hAnsi="仿宋" w:eastAsia="仿宋" w:cs="仿宋"/>
                <w:sz w:val="22"/>
                <w:szCs w:val="22"/>
                <w:highlight w:val="none"/>
                <w:lang w:val="en-US" w:eastAsia="zh-CN"/>
              </w:rPr>
              <w:t>35</w:t>
            </w:r>
            <w:r>
              <w:rPr>
                <w:rFonts w:hint="eastAsia" w:ascii="仿宋" w:hAnsi="仿宋" w:eastAsia="仿宋" w:cs="仿宋"/>
                <w:sz w:val="22"/>
                <w:szCs w:val="22"/>
                <w:highlight w:val="none"/>
              </w:rPr>
              <w:t>0万元的，得</w:t>
            </w:r>
            <w:r>
              <w:rPr>
                <w:rFonts w:hint="eastAsia" w:ascii="仿宋" w:hAnsi="仿宋" w:eastAsia="仿宋" w:cs="仿宋"/>
                <w:sz w:val="22"/>
                <w:szCs w:val="22"/>
                <w:highlight w:val="none"/>
                <w:lang w:val="en-US" w:eastAsia="zh-CN"/>
              </w:rPr>
              <w:t>1</w:t>
            </w:r>
            <w:r>
              <w:rPr>
                <w:rFonts w:hint="eastAsia" w:ascii="仿宋" w:hAnsi="仿宋" w:eastAsia="仿宋" w:cs="仿宋"/>
                <w:sz w:val="22"/>
                <w:szCs w:val="22"/>
                <w:highlight w:val="none"/>
              </w:rPr>
              <w:t>分；保额</w:t>
            </w:r>
            <w:r>
              <w:rPr>
                <w:rFonts w:hint="eastAsia" w:ascii="仿宋" w:hAnsi="仿宋" w:eastAsia="仿宋" w:cs="仿宋"/>
                <w:sz w:val="22"/>
                <w:szCs w:val="22"/>
                <w:highlight w:val="none"/>
                <w:lang w:val="en-US" w:eastAsia="zh-CN"/>
              </w:rPr>
              <w:t>每增加</w:t>
            </w:r>
            <w:r>
              <w:rPr>
                <w:rFonts w:hint="eastAsia" w:ascii="仿宋" w:hAnsi="仿宋" w:eastAsia="仿宋" w:cs="仿宋"/>
                <w:sz w:val="22"/>
                <w:szCs w:val="22"/>
                <w:highlight w:val="none"/>
              </w:rPr>
              <w:t>50万元的，得1分。本项最多得</w:t>
            </w:r>
            <w:r>
              <w:rPr>
                <w:rFonts w:hint="eastAsia" w:ascii="仿宋" w:hAnsi="仿宋" w:eastAsia="仿宋" w:cs="仿宋"/>
                <w:sz w:val="22"/>
                <w:szCs w:val="22"/>
                <w:highlight w:val="none"/>
                <w:lang w:val="en-US" w:eastAsia="zh-CN"/>
              </w:rPr>
              <w:t>10</w:t>
            </w:r>
            <w:r>
              <w:rPr>
                <w:rFonts w:hint="eastAsia" w:ascii="仿宋" w:hAnsi="仿宋" w:eastAsia="仿宋" w:cs="仿宋"/>
                <w:sz w:val="22"/>
                <w:szCs w:val="22"/>
                <w:highlight w:val="none"/>
              </w:rPr>
              <w:t>分。</w:t>
            </w:r>
          </w:p>
          <w:p w14:paraId="3CF7CED9">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仿宋" w:hAnsi="仿宋" w:eastAsia="仿宋" w:cs="仿宋"/>
                <w:sz w:val="22"/>
                <w:szCs w:val="22"/>
                <w:highlight w:val="none"/>
              </w:rPr>
            </w:pPr>
            <w:r>
              <w:rPr>
                <w:rFonts w:hint="eastAsia" w:ascii="仿宋" w:hAnsi="仿宋" w:eastAsia="仿宋" w:cs="仿宋"/>
                <w:sz w:val="22"/>
                <w:szCs w:val="22"/>
                <w:highlight w:val="none"/>
              </w:rPr>
              <w:t>2、车上人员责任险保额：保额低于</w:t>
            </w:r>
            <w:r>
              <w:rPr>
                <w:rFonts w:hint="eastAsia" w:ascii="仿宋" w:hAnsi="仿宋" w:eastAsia="仿宋" w:cs="仿宋"/>
                <w:sz w:val="22"/>
                <w:szCs w:val="22"/>
                <w:highlight w:val="none"/>
                <w:lang w:val="en-US" w:eastAsia="zh-CN"/>
              </w:rPr>
              <w:t>5</w:t>
            </w:r>
            <w:r>
              <w:rPr>
                <w:rFonts w:hint="eastAsia" w:ascii="仿宋" w:hAnsi="仿宋" w:eastAsia="仿宋" w:cs="仿宋"/>
                <w:sz w:val="22"/>
                <w:szCs w:val="22"/>
                <w:highlight w:val="none"/>
              </w:rPr>
              <w:t>万元/人的不得分；</w:t>
            </w:r>
            <w:r>
              <w:rPr>
                <w:rFonts w:hint="eastAsia" w:ascii="仿宋" w:hAnsi="仿宋" w:eastAsia="仿宋" w:cs="仿宋"/>
                <w:sz w:val="22"/>
                <w:szCs w:val="22"/>
                <w:highlight w:val="none"/>
                <w:lang w:val="en-US" w:eastAsia="zh-CN"/>
              </w:rPr>
              <w:t>5</w:t>
            </w:r>
            <w:r>
              <w:rPr>
                <w:rFonts w:hint="eastAsia" w:ascii="仿宋" w:hAnsi="仿宋" w:eastAsia="仿宋" w:cs="仿宋"/>
                <w:sz w:val="22"/>
                <w:szCs w:val="22"/>
                <w:highlight w:val="none"/>
              </w:rPr>
              <w:t>万元/人≤保额＜</w:t>
            </w:r>
            <w:r>
              <w:rPr>
                <w:rFonts w:hint="eastAsia" w:ascii="仿宋" w:hAnsi="仿宋" w:eastAsia="仿宋" w:cs="仿宋"/>
                <w:sz w:val="22"/>
                <w:szCs w:val="22"/>
                <w:highlight w:val="none"/>
                <w:lang w:val="en-US" w:eastAsia="zh-CN"/>
              </w:rPr>
              <w:t>40</w:t>
            </w:r>
            <w:r>
              <w:rPr>
                <w:rFonts w:hint="eastAsia" w:ascii="仿宋" w:hAnsi="仿宋" w:eastAsia="仿宋" w:cs="仿宋"/>
                <w:sz w:val="22"/>
                <w:szCs w:val="22"/>
                <w:highlight w:val="none"/>
              </w:rPr>
              <w:t>万元/人的，得</w:t>
            </w:r>
            <w:r>
              <w:rPr>
                <w:rFonts w:hint="eastAsia" w:ascii="仿宋" w:hAnsi="仿宋" w:eastAsia="仿宋" w:cs="仿宋"/>
                <w:sz w:val="22"/>
                <w:szCs w:val="22"/>
                <w:highlight w:val="none"/>
                <w:lang w:val="en-US" w:eastAsia="zh-CN"/>
              </w:rPr>
              <w:t>1</w:t>
            </w:r>
            <w:r>
              <w:rPr>
                <w:rFonts w:hint="eastAsia" w:ascii="仿宋" w:hAnsi="仿宋" w:eastAsia="仿宋" w:cs="仿宋"/>
                <w:sz w:val="22"/>
                <w:szCs w:val="22"/>
                <w:highlight w:val="none"/>
              </w:rPr>
              <w:t>分；保额</w:t>
            </w:r>
            <w:r>
              <w:rPr>
                <w:rFonts w:hint="eastAsia" w:ascii="仿宋" w:hAnsi="仿宋" w:eastAsia="仿宋" w:cs="仿宋"/>
                <w:sz w:val="22"/>
                <w:szCs w:val="22"/>
                <w:highlight w:val="none"/>
                <w:lang w:val="en-US" w:eastAsia="zh-CN"/>
              </w:rPr>
              <w:t>每增加</w:t>
            </w:r>
            <w:r>
              <w:rPr>
                <w:rFonts w:hint="eastAsia" w:ascii="仿宋" w:hAnsi="仿宋" w:eastAsia="仿宋" w:cs="仿宋"/>
                <w:sz w:val="22"/>
                <w:szCs w:val="22"/>
                <w:highlight w:val="none"/>
              </w:rPr>
              <w:t>5万元的，得1分。本项最多得</w:t>
            </w:r>
            <w:r>
              <w:rPr>
                <w:rFonts w:hint="eastAsia" w:ascii="仿宋" w:hAnsi="仿宋" w:eastAsia="仿宋" w:cs="仿宋"/>
                <w:sz w:val="22"/>
                <w:szCs w:val="22"/>
                <w:highlight w:val="none"/>
                <w:lang w:val="en-US" w:eastAsia="zh-CN"/>
              </w:rPr>
              <w:t>10</w:t>
            </w:r>
            <w:r>
              <w:rPr>
                <w:rFonts w:hint="eastAsia" w:ascii="仿宋" w:hAnsi="仿宋" w:eastAsia="仿宋" w:cs="仿宋"/>
                <w:sz w:val="22"/>
                <w:szCs w:val="22"/>
                <w:highlight w:val="none"/>
              </w:rPr>
              <w:t>分。</w:t>
            </w:r>
          </w:p>
          <w:p w14:paraId="45AD72F3">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仿宋" w:hAnsi="仿宋" w:eastAsia="仿宋" w:cs="仿宋"/>
                <w:sz w:val="22"/>
                <w:szCs w:val="22"/>
                <w:highlight w:val="none"/>
              </w:rPr>
            </w:pPr>
            <w:r>
              <w:rPr>
                <w:rFonts w:hint="eastAsia" w:ascii="仿宋" w:hAnsi="仿宋" w:eastAsia="仿宋" w:cs="仿宋"/>
                <w:sz w:val="22"/>
                <w:szCs w:val="22"/>
                <w:highlight w:val="none"/>
              </w:rPr>
              <w:t>注：1）提供车辆保险购买证明材料；</w:t>
            </w:r>
          </w:p>
          <w:p w14:paraId="19706A9C">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仿宋" w:hAnsi="仿宋" w:eastAsia="仿宋" w:cs="仿宋"/>
                <w:sz w:val="22"/>
                <w:szCs w:val="22"/>
                <w:highlight w:val="none"/>
              </w:rPr>
            </w:pPr>
            <w:r>
              <w:rPr>
                <w:rFonts w:hint="eastAsia" w:ascii="仿宋" w:hAnsi="仿宋" w:eastAsia="仿宋" w:cs="仿宋"/>
                <w:sz w:val="22"/>
                <w:szCs w:val="22"/>
                <w:highlight w:val="none"/>
              </w:rPr>
              <w:t>2）车上人员险应全员（核载乘客数）购买，仅购买部分人员的该项不得分。</w:t>
            </w:r>
          </w:p>
        </w:tc>
        <w:tc>
          <w:tcPr>
            <w:tcW w:w="1137" w:type="dxa"/>
            <w:noWrap w:val="0"/>
            <w:vAlign w:val="center"/>
          </w:tcPr>
          <w:p w14:paraId="0A078B72">
            <w:pPr>
              <w:jc w:val="center"/>
              <w:rPr>
                <w:sz w:val="20"/>
                <w:szCs w:val="22"/>
              </w:rPr>
            </w:pPr>
          </w:p>
        </w:tc>
      </w:tr>
      <w:tr w14:paraId="5EF57B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5" w:hRule="atLeast"/>
        </w:trPr>
        <w:tc>
          <w:tcPr>
            <w:tcW w:w="775" w:type="dxa"/>
            <w:noWrap w:val="0"/>
            <w:vAlign w:val="center"/>
          </w:tcPr>
          <w:p w14:paraId="7F1BF169">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5</w:t>
            </w:r>
          </w:p>
        </w:tc>
        <w:tc>
          <w:tcPr>
            <w:tcW w:w="1138" w:type="dxa"/>
            <w:noWrap w:val="0"/>
            <w:vAlign w:val="center"/>
          </w:tcPr>
          <w:p w14:paraId="420090EB">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 w:hAnsi="仿宋" w:eastAsia="仿宋" w:cs="仿宋"/>
                <w:sz w:val="22"/>
                <w:szCs w:val="22"/>
              </w:rPr>
            </w:pPr>
            <w:r>
              <w:rPr>
                <w:rFonts w:hint="eastAsia" w:ascii="仿宋" w:hAnsi="仿宋" w:eastAsia="仿宋" w:cs="仿宋"/>
                <w:sz w:val="22"/>
                <w:szCs w:val="22"/>
              </w:rPr>
              <w:t>类似业绩</w:t>
            </w:r>
          </w:p>
        </w:tc>
        <w:tc>
          <w:tcPr>
            <w:tcW w:w="662" w:type="dxa"/>
            <w:noWrap w:val="0"/>
            <w:vAlign w:val="center"/>
          </w:tcPr>
          <w:p w14:paraId="0E15B322">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 w:hAnsi="仿宋" w:eastAsia="仿宋" w:cs="仿宋"/>
                <w:sz w:val="22"/>
                <w:szCs w:val="22"/>
                <w:lang w:val="en-US" w:eastAsia="zh-CN"/>
              </w:rPr>
            </w:pPr>
            <w:r>
              <w:rPr>
                <w:rFonts w:hint="eastAsia" w:ascii="仿宋" w:hAnsi="仿宋" w:eastAsia="仿宋" w:cs="仿宋"/>
                <w:sz w:val="22"/>
                <w:szCs w:val="22"/>
                <w:lang w:val="en-US" w:eastAsia="zh-CN"/>
              </w:rPr>
              <w:t>5</w:t>
            </w:r>
          </w:p>
        </w:tc>
        <w:tc>
          <w:tcPr>
            <w:tcW w:w="10563" w:type="dxa"/>
            <w:noWrap w:val="0"/>
            <w:vAlign w:val="center"/>
          </w:tcPr>
          <w:p w14:paraId="381ED3D3">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仿宋" w:hAnsi="仿宋" w:eastAsia="仿宋" w:cs="仿宋"/>
                <w:sz w:val="22"/>
                <w:szCs w:val="22"/>
                <w:highlight w:val="none"/>
              </w:rPr>
            </w:pPr>
            <w:r>
              <w:rPr>
                <w:rFonts w:hint="eastAsia" w:ascii="仿宋" w:hAnsi="仿宋" w:eastAsia="仿宋" w:cs="仿宋"/>
                <w:sz w:val="22"/>
                <w:szCs w:val="22"/>
                <w:highlight w:val="none"/>
              </w:rPr>
              <w:t>供应商自20</w:t>
            </w:r>
            <w:r>
              <w:rPr>
                <w:rFonts w:hint="eastAsia" w:ascii="仿宋" w:hAnsi="仿宋" w:eastAsia="仿宋" w:cs="仿宋"/>
                <w:sz w:val="22"/>
                <w:szCs w:val="22"/>
                <w:highlight w:val="none"/>
                <w:lang w:val="en-US" w:eastAsia="zh-CN"/>
              </w:rPr>
              <w:t>21</w:t>
            </w:r>
            <w:r>
              <w:rPr>
                <w:rFonts w:hint="eastAsia" w:ascii="仿宋" w:hAnsi="仿宋" w:eastAsia="仿宋" w:cs="仿宋"/>
                <w:sz w:val="22"/>
                <w:szCs w:val="22"/>
                <w:highlight w:val="none"/>
              </w:rPr>
              <w:t>年1月1日（以合同签订时间为准）以来承担过类似</w:t>
            </w:r>
            <w:r>
              <w:rPr>
                <w:rFonts w:hint="eastAsia" w:ascii="仿宋" w:hAnsi="仿宋" w:eastAsia="仿宋" w:cs="仿宋"/>
                <w:sz w:val="22"/>
                <w:szCs w:val="22"/>
                <w:highlight w:val="none"/>
                <w:lang w:eastAsia="zh-CN"/>
              </w:rPr>
              <w:t>项目业绩</w:t>
            </w:r>
            <w:r>
              <w:rPr>
                <w:rFonts w:hint="eastAsia" w:ascii="仿宋" w:hAnsi="仿宋" w:eastAsia="仿宋" w:cs="仿宋"/>
                <w:sz w:val="22"/>
                <w:szCs w:val="22"/>
                <w:highlight w:val="none"/>
              </w:rPr>
              <w:t>证明材料复印件。每项得</w:t>
            </w:r>
            <w:r>
              <w:rPr>
                <w:rFonts w:hint="eastAsia" w:ascii="仿宋" w:hAnsi="仿宋" w:eastAsia="仿宋" w:cs="仿宋"/>
                <w:sz w:val="22"/>
                <w:szCs w:val="22"/>
                <w:highlight w:val="none"/>
                <w:lang w:val="en-US" w:eastAsia="zh-CN"/>
              </w:rPr>
              <w:t>1</w:t>
            </w:r>
            <w:r>
              <w:rPr>
                <w:rFonts w:hint="eastAsia" w:ascii="仿宋" w:hAnsi="仿宋" w:eastAsia="仿宋" w:cs="仿宋"/>
                <w:sz w:val="22"/>
                <w:szCs w:val="22"/>
                <w:highlight w:val="none"/>
              </w:rPr>
              <w:t>分，最多计5项。</w:t>
            </w:r>
          </w:p>
        </w:tc>
        <w:tc>
          <w:tcPr>
            <w:tcW w:w="1137" w:type="dxa"/>
            <w:noWrap w:val="0"/>
            <w:vAlign w:val="center"/>
          </w:tcPr>
          <w:p w14:paraId="5BEE10FE">
            <w:pPr>
              <w:jc w:val="center"/>
              <w:rPr>
                <w:sz w:val="20"/>
                <w:szCs w:val="22"/>
              </w:rPr>
            </w:pPr>
          </w:p>
        </w:tc>
      </w:tr>
      <w:tr w14:paraId="029DF7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5" w:hRule="atLeast"/>
        </w:trPr>
        <w:tc>
          <w:tcPr>
            <w:tcW w:w="775" w:type="dxa"/>
            <w:noWrap w:val="0"/>
            <w:vAlign w:val="center"/>
          </w:tcPr>
          <w:p w14:paraId="4B5BA246">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6</w:t>
            </w:r>
          </w:p>
        </w:tc>
        <w:tc>
          <w:tcPr>
            <w:tcW w:w="1138" w:type="dxa"/>
            <w:noWrap w:val="0"/>
            <w:vAlign w:val="center"/>
          </w:tcPr>
          <w:p w14:paraId="16D68B5B">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 w:hAnsi="仿宋" w:eastAsia="仿宋" w:cs="仿宋"/>
                <w:sz w:val="22"/>
                <w:szCs w:val="22"/>
              </w:rPr>
            </w:pPr>
            <w:r>
              <w:rPr>
                <w:rFonts w:hint="eastAsia" w:ascii="仿宋" w:hAnsi="仿宋" w:eastAsia="仿宋" w:cs="仿宋"/>
                <w:sz w:val="22"/>
                <w:szCs w:val="22"/>
              </w:rPr>
              <w:t>经营规模</w:t>
            </w:r>
          </w:p>
        </w:tc>
        <w:tc>
          <w:tcPr>
            <w:tcW w:w="662" w:type="dxa"/>
            <w:noWrap w:val="0"/>
            <w:vAlign w:val="center"/>
          </w:tcPr>
          <w:p w14:paraId="093B6027">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 w:hAnsi="仿宋" w:eastAsia="仿宋" w:cs="仿宋"/>
                <w:sz w:val="22"/>
                <w:szCs w:val="22"/>
                <w:lang w:val="en-US" w:eastAsia="zh-CN"/>
              </w:rPr>
            </w:pPr>
            <w:r>
              <w:rPr>
                <w:rFonts w:hint="eastAsia" w:ascii="仿宋" w:hAnsi="仿宋" w:eastAsia="仿宋" w:cs="仿宋"/>
                <w:sz w:val="22"/>
                <w:szCs w:val="22"/>
                <w:lang w:val="en-US" w:eastAsia="zh-CN"/>
              </w:rPr>
              <w:t>5</w:t>
            </w:r>
          </w:p>
        </w:tc>
        <w:tc>
          <w:tcPr>
            <w:tcW w:w="10563" w:type="dxa"/>
            <w:noWrap w:val="0"/>
            <w:vAlign w:val="center"/>
          </w:tcPr>
          <w:p w14:paraId="1D221CD5">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仿宋" w:hAnsi="仿宋" w:eastAsia="仿宋" w:cs="仿宋"/>
                <w:sz w:val="22"/>
                <w:szCs w:val="22"/>
                <w:highlight w:val="none"/>
              </w:rPr>
            </w:pPr>
            <w:r>
              <w:rPr>
                <w:rFonts w:hint="eastAsia" w:ascii="仿宋" w:hAnsi="仿宋" w:eastAsia="仿宋" w:cs="仿宋"/>
                <w:sz w:val="22"/>
                <w:szCs w:val="22"/>
                <w:highlight w:val="none"/>
              </w:rPr>
              <w:t>依据供应商提供租车服务的各类型车辆总数量进行评分：车辆总数量第一名得</w:t>
            </w:r>
            <w:r>
              <w:rPr>
                <w:rFonts w:hint="eastAsia" w:ascii="仿宋" w:hAnsi="仿宋" w:eastAsia="仿宋" w:cs="仿宋"/>
                <w:sz w:val="22"/>
                <w:szCs w:val="22"/>
                <w:highlight w:val="none"/>
                <w:lang w:val="en-US" w:eastAsia="zh-CN"/>
              </w:rPr>
              <w:t>5</w:t>
            </w:r>
            <w:r>
              <w:rPr>
                <w:rFonts w:hint="eastAsia" w:ascii="仿宋" w:hAnsi="仿宋" w:eastAsia="仿宋" w:cs="仿宋"/>
                <w:sz w:val="22"/>
                <w:szCs w:val="22"/>
                <w:highlight w:val="none"/>
              </w:rPr>
              <w:t>分，第二名得</w:t>
            </w:r>
            <w:r>
              <w:rPr>
                <w:rFonts w:hint="eastAsia" w:ascii="仿宋" w:hAnsi="仿宋" w:eastAsia="仿宋" w:cs="仿宋"/>
                <w:sz w:val="22"/>
                <w:szCs w:val="22"/>
                <w:highlight w:val="none"/>
                <w:lang w:val="en-US" w:eastAsia="zh-CN"/>
              </w:rPr>
              <w:t>4</w:t>
            </w:r>
            <w:r>
              <w:rPr>
                <w:rFonts w:hint="eastAsia" w:ascii="仿宋" w:hAnsi="仿宋" w:eastAsia="仿宋" w:cs="仿宋"/>
                <w:sz w:val="22"/>
                <w:szCs w:val="22"/>
                <w:highlight w:val="none"/>
              </w:rPr>
              <w:t>分，第三名得</w:t>
            </w:r>
            <w:r>
              <w:rPr>
                <w:rFonts w:hint="eastAsia" w:ascii="仿宋" w:hAnsi="仿宋" w:eastAsia="仿宋" w:cs="仿宋"/>
                <w:sz w:val="22"/>
                <w:szCs w:val="22"/>
                <w:highlight w:val="none"/>
                <w:lang w:val="en-US" w:eastAsia="zh-CN"/>
              </w:rPr>
              <w:t>3</w:t>
            </w:r>
            <w:r>
              <w:rPr>
                <w:rFonts w:hint="eastAsia" w:ascii="仿宋" w:hAnsi="仿宋" w:eastAsia="仿宋" w:cs="仿宋"/>
                <w:sz w:val="22"/>
                <w:szCs w:val="22"/>
                <w:highlight w:val="none"/>
              </w:rPr>
              <w:t>分，每降低一个名次降低</w:t>
            </w:r>
            <w:r>
              <w:rPr>
                <w:rFonts w:hint="eastAsia" w:ascii="仿宋" w:hAnsi="仿宋" w:eastAsia="仿宋" w:cs="仿宋"/>
                <w:sz w:val="22"/>
                <w:szCs w:val="22"/>
                <w:highlight w:val="none"/>
                <w:lang w:val="en-US" w:eastAsia="zh-CN"/>
              </w:rPr>
              <w:t>1</w:t>
            </w:r>
            <w:r>
              <w:rPr>
                <w:rFonts w:hint="eastAsia" w:ascii="仿宋" w:hAnsi="仿宋" w:eastAsia="仿宋" w:cs="仿宋"/>
                <w:sz w:val="22"/>
                <w:szCs w:val="22"/>
                <w:highlight w:val="none"/>
              </w:rPr>
              <w:t>分，以此类推。</w:t>
            </w:r>
          </w:p>
        </w:tc>
        <w:tc>
          <w:tcPr>
            <w:tcW w:w="1137" w:type="dxa"/>
            <w:noWrap w:val="0"/>
            <w:vAlign w:val="center"/>
          </w:tcPr>
          <w:p w14:paraId="70004068">
            <w:pPr>
              <w:jc w:val="center"/>
              <w:rPr>
                <w:sz w:val="20"/>
                <w:szCs w:val="22"/>
              </w:rPr>
            </w:pPr>
          </w:p>
        </w:tc>
      </w:tr>
      <w:tr w14:paraId="464773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2" w:hRule="atLeast"/>
        </w:trPr>
        <w:tc>
          <w:tcPr>
            <w:tcW w:w="2575" w:type="dxa"/>
            <w:gridSpan w:val="3"/>
            <w:noWrap w:val="0"/>
            <w:vAlign w:val="center"/>
          </w:tcPr>
          <w:p w14:paraId="377BAEAF">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 w:hAnsi="仿宋" w:eastAsia="仿宋" w:cs="仿宋"/>
                <w:sz w:val="22"/>
                <w:szCs w:val="22"/>
                <w:highlight w:val="none"/>
              </w:rPr>
            </w:pPr>
            <w:r>
              <w:rPr>
                <w:rFonts w:hint="eastAsia" w:ascii="仿宋" w:hAnsi="仿宋" w:eastAsia="仿宋" w:cs="仿宋"/>
                <w:sz w:val="22"/>
                <w:szCs w:val="22"/>
                <w:highlight w:val="none"/>
                <w:lang w:val="en-US" w:eastAsia="zh-CN"/>
              </w:rPr>
              <w:t>得分</w:t>
            </w:r>
          </w:p>
        </w:tc>
        <w:tc>
          <w:tcPr>
            <w:tcW w:w="10563" w:type="dxa"/>
            <w:noWrap w:val="0"/>
            <w:vAlign w:val="center"/>
          </w:tcPr>
          <w:p w14:paraId="61625ADE">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仿宋" w:hAnsi="仿宋" w:eastAsia="仿宋" w:cs="仿宋"/>
                <w:sz w:val="22"/>
                <w:szCs w:val="22"/>
                <w:highlight w:val="none"/>
                <w:lang w:val="en-US" w:eastAsia="zh-CN"/>
              </w:rPr>
            </w:pPr>
          </w:p>
        </w:tc>
        <w:tc>
          <w:tcPr>
            <w:tcW w:w="1137" w:type="dxa"/>
            <w:noWrap w:val="0"/>
            <w:vAlign w:val="center"/>
          </w:tcPr>
          <w:p w14:paraId="41586207">
            <w:pPr>
              <w:jc w:val="center"/>
              <w:rPr>
                <w:b/>
                <w:sz w:val="20"/>
                <w:szCs w:val="22"/>
              </w:rPr>
            </w:pPr>
          </w:p>
        </w:tc>
      </w:tr>
    </w:tbl>
    <w:p w14:paraId="465FA86A">
      <w:pPr>
        <w:ind w:left="0" w:leftChars="0" w:firstLine="0" w:firstLineChars="0"/>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YzNjBkOTgyNWQ1YTMxYzM3MzMwNWFiODNmOWIzYWMifQ=="/>
  </w:docVars>
  <w:rsids>
    <w:rsidRoot w:val="28B36EC2"/>
    <w:rsid w:val="00D210A4"/>
    <w:rsid w:val="027829AA"/>
    <w:rsid w:val="078E272D"/>
    <w:rsid w:val="0FD73941"/>
    <w:rsid w:val="14977A09"/>
    <w:rsid w:val="151048A6"/>
    <w:rsid w:val="16030405"/>
    <w:rsid w:val="1CDF50E4"/>
    <w:rsid w:val="1FE7776B"/>
    <w:rsid w:val="200F0EB2"/>
    <w:rsid w:val="27540ED1"/>
    <w:rsid w:val="27A7545E"/>
    <w:rsid w:val="2803413D"/>
    <w:rsid w:val="28B36EC2"/>
    <w:rsid w:val="2CA5144D"/>
    <w:rsid w:val="2D312C22"/>
    <w:rsid w:val="2D6831A3"/>
    <w:rsid w:val="307944FE"/>
    <w:rsid w:val="33316432"/>
    <w:rsid w:val="34DD0E39"/>
    <w:rsid w:val="3D8E3F81"/>
    <w:rsid w:val="3FC90CFC"/>
    <w:rsid w:val="43770924"/>
    <w:rsid w:val="464840AB"/>
    <w:rsid w:val="475209D6"/>
    <w:rsid w:val="48941600"/>
    <w:rsid w:val="499E0A5C"/>
    <w:rsid w:val="52D91EBE"/>
    <w:rsid w:val="548C7DD8"/>
    <w:rsid w:val="55A33926"/>
    <w:rsid w:val="571A029D"/>
    <w:rsid w:val="587F70EC"/>
    <w:rsid w:val="59EB3BF0"/>
    <w:rsid w:val="5D19464B"/>
    <w:rsid w:val="64A82F32"/>
    <w:rsid w:val="65DB128F"/>
    <w:rsid w:val="67DA371A"/>
    <w:rsid w:val="6EC73A65"/>
    <w:rsid w:val="75C841B7"/>
    <w:rsid w:val="7E553DB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customStyle="1" w:styleId="2">
    <w:name w:val="AONormal"/>
    <w:qFormat/>
    <w:uiPriority w:val="0"/>
    <w:pPr>
      <w:spacing w:line="260" w:lineRule="atLeast"/>
    </w:pPr>
    <w:rPr>
      <w:rFonts w:ascii="Times New Roman" w:hAnsi="Times New Roman" w:eastAsia="宋体" w:cs="Times New Roman"/>
      <w:sz w:val="22"/>
      <w:szCs w:val="22"/>
      <w:lang w:val="en-US" w:eastAsia="en-US" w:bidi="ar-SA"/>
    </w:rPr>
  </w:style>
  <w:style w:type="paragraph" w:styleId="3">
    <w:name w:val="Normal Indent"/>
    <w:basedOn w:val="1"/>
    <w:qFormat/>
    <w:uiPriority w:val="0"/>
    <w:pPr>
      <w:ind w:firstLine="420" w:firstLineChars="200"/>
    </w:pPr>
  </w:style>
  <w:style w:type="paragraph" w:styleId="4">
    <w:name w:val="footer"/>
    <w:basedOn w:val="1"/>
    <w:qFormat/>
    <w:uiPriority w:val="0"/>
    <w:pPr>
      <w:tabs>
        <w:tab w:val="center" w:pos="4153"/>
        <w:tab w:val="right" w:pos="8306"/>
      </w:tabs>
      <w:snapToGrid w:val="0"/>
      <w:jc w:val="left"/>
    </w:pPr>
    <w:rPr>
      <w:sz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四川省国有资产经营投资管理有限责任公司</Company>
  <Pages>2</Pages>
  <Words>0</Words>
  <Characters>0</Characters>
  <Lines>0</Lines>
  <Paragraphs>0</Paragraphs>
  <TotalTime>0</TotalTime>
  <ScaleCrop>false</ScaleCrop>
  <LinksUpToDate>false</LinksUpToDate>
  <CharactersWithSpaces>0</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2024-09-29T06:20:00Z</dcterms:created>
  <dc:creator>罗杨</dc:creator>
  <cp:lastModifiedBy>罗杨</cp:lastModifiedBy>
  <dcterms:modified xsi:type="dcterms:W3CDTF">2024-09-29T06:21:29Z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429DA993881B4FEDAD31588F4C5699B2_11</vt:lpwstr>
  </property>
</Properties>
</file>