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suppressLineNumbers w:val="0"/>
        <w:kinsoku/>
        <w:wordWrap/>
        <w:overflowPunct/>
        <w:topLinePunct w:val="0"/>
        <w:autoSpaceDE/>
        <w:autoSpaceDN/>
        <w:bidi w:val="0"/>
        <w:adjustRightInd/>
        <w:spacing w:before="0" w:beforeAutospacing="0" w:after="0" w:afterAutospacing="0" w:line="360" w:lineRule="auto"/>
        <w:ind w:left="0" w:right="0"/>
        <w:jc w:val="both"/>
        <w:textAlignment w:val="auto"/>
        <w:rPr>
          <w:rFonts w:hint="default" w:ascii="Times New Roman" w:hAnsi="Times New Roman" w:eastAsia="仿宋_GB2312" w:cs="Times New Roman"/>
          <w:b/>
          <w:bCs/>
          <w:color w:val="333333"/>
          <w:sz w:val="32"/>
          <w:szCs w:val="32"/>
          <w:lang w:val="en-US" w:eastAsia="zh-CN"/>
        </w:rPr>
      </w:pPr>
      <w:r>
        <w:rPr>
          <w:rFonts w:hint="eastAsia" w:ascii="Times New Roman" w:hAnsi="Times New Roman" w:eastAsia="仿宋_GB2312" w:cs="Times New Roman"/>
          <w:b/>
          <w:bCs/>
          <w:color w:val="333333"/>
          <w:sz w:val="32"/>
          <w:szCs w:val="32"/>
          <w:lang w:val="en-US" w:eastAsia="zh-CN"/>
        </w:rPr>
        <w:t>附件1：</w:t>
      </w:r>
    </w:p>
    <w:p>
      <w:pPr>
        <w:spacing w:line="576" w:lineRule="exact"/>
        <w:jc w:val="center"/>
        <w:rPr>
          <w:rFonts w:hint="eastAsia" w:ascii="方正小标宋简体" w:hAnsi="方正小标宋简体" w:eastAsia="方正小标宋简体" w:cs="方正小标宋简体"/>
          <w:b/>
          <w:bCs/>
          <w:sz w:val="36"/>
          <w:szCs w:val="36"/>
          <w:lang w:val="en-US" w:eastAsia="zh-CN"/>
        </w:rPr>
      </w:pPr>
      <w:r>
        <w:rPr>
          <w:rFonts w:hint="eastAsia" w:ascii="方正小标宋简体" w:hAnsi="方正小标宋简体" w:eastAsia="方正小标宋简体" w:cs="方正小标宋简体"/>
          <w:b/>
          <w:bCs/>
          <w:sz w:val="36"/>
          <w:szCs w:val="36"/>
          <w:lang w:val="en-US" w:eastAsia="zh-CN"/>
        </w:rPr>
        <w:t>四川省国有资产经营投资管理有限责任公司</w:t>
      </w:r>
    </w:p>
    <w:p>
      <w:pPr>
        <w:spacing w:line="576" w:lineRule="exact"/>
        <w:jc w:val="center"/>
        <w:outlineLvl w:val="0"/>
        <w:rPr>
          <w:rFonts w:hint="eastAsia" w:ascii="方正小标宋简体" w:hAnsi="方正小标宋简体" w:eastAsia="方正小标宋简体" w:cs="方正小标宋简体"/>
          <w:b/>
          <w:bCs/>
          <w:sz w:val="36"/>
          <w:szCs w:val="36"/>
          <w:lang w:val="en-US" w:eastAsia="zh-CN"/>
        </w:rPr>
      </w:pPr>
      <w:r>
        <w:rPr>
          <w:rFonts w:hint="eastAsia" w:ascii="方正小标宋简体" w:hAnsi="方正小标宋简体" w:eastAsia="方正小标宋简体" w:cs="方正小标宋简体"/>
          <w:b/>
          <w:bCs/>
          <w:sz w:val="36"/>
          <w:szCs w:val="36"/>
          <w:lang w:val="en-US" w:eastAsia="zh-CN"/>
        </w:rPr>
        <w:t>关于省国经公司品牌战略规划咨询项目</w:t>
      </w:r>
    </w:p>
    <w:p>
      <w:pPr>
        <w:spacing w:line="576" w:lineRule="exact"/>
        <w:jc w:val="center"/>
        <w:outlineLvl w:val="0"/>
        <w:rPr>
          <w:rFonts w:hint="eastAsia" w:ascii="方正小标宋简体" w:hAnsi="方正小标宋简体" w:eastAsia="方正小标宋简体" w:cs="方正小标宋简体"/>
          <w:b/>
          <w:bCs/>
          <w:sz w:val="36"/>
          <w:szCs w:val="36"/>
          <w:lang w:val="en-US" w:eastAsia="zh-CN"/>
        </w:rPr>
      </w:pPr>
      <w:r>
        <w:rPr>
          <w:rFonts w:hint="eastAsia" w:ascii="方正小标宋简体" w:hAnsi="方正小标宋简体" w:eastAsia="方正小标宋简体" w:cs="方正小标宋简体"/>
          <w:b/>
          <w:bCs/>
          <w:sz w:val="36"/>
          <w:szCs w:val="36"/>
          <w:lang w:val="en-US" w:eastAsia="zh-CN"/>
        </w:rPr>
        <w:t>公开比选文件</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p>
    <w:p>
      <w:pPr>
        <w:widowControl/>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因业务需</w:t>
      </w:r>
      <w:bookmarkStart w:id="0" w:name="_GoBack"/>
      <w:bookmarkEnd w:id="0"/>
      <w:r>
        <w:rPr>
          <w:rFonts w:hint="eastAsia" w:ascii="仿宋_GB2312" w:hAnsi="仿宋_GB2312" w:eastAsia="仿宋_GB2312" w:cs="仿宋_GB2312"/>
          <w:sz w:val="32"/>
          <w:szCs w:val="32"/>
        </w:rPr>
        <w:t>要，四川省国有资产经营投资管理有限责任公司（以下简称</w:t>
      </w:r>
      <w:r>
        <w:rPr>
          <w:rFonts w:hint="eastAsia" w:ascii="仿宋_GB2312" w:hAnsi="仿宋_GB2312" w:eastAsia="仿宋_GB2312" w:cs="仿宋_GB2312"/>
          <w:sz w:val="32"/>
          <w:szCs w:val="32"/>
          <w:lang w:val="en-US" w:eastAsia="zh-CN"/>
        </w:rPr>
        <w:t>省国经公司或</w:t>
      </w:r>
      <w:r>
        <w:rPr>
          <w:rFonts w:hint="eastAsia" w:ascii="仿宋_GB2312" w:hAnsi="仿宋_GB2312" w:eastAsia="仿宋_GB2312" w:cs="仿宋_GB2312"/>
          <w:sz w:val="32"/>
          <w:szCs w:val="32"/>
        </w:rPr>
        <w:t>公司）</w:t>
      </w:r>
      <w:r>
        <w:rPr>
          <w:rFonts w:hint="eastAsia" w:ascii="仿宋_GB2312" w:hAnsi="仿宋_GB2312" w:eastAsia="仿宋_GB2312" w:cs="仿宋_GB2312"/>
          <w:sz w:val="32"/>
          <w:szCs w:val="32"/>
          <w:lang w:val="en-US" w:eastAsia="zh-CN"/>
        </w:rPr>
        <w:t>现</w:t>
      </w:r>
      <w:r>
        <w:rPr>
          <w:rFonts w:hint="eastAsia" w:ascii="仿宋_GB2312" w:hAnsi="仿宋_GB2312" w:eastAsia="仿宋_GB2312" w:cs="仿宋_GB2312"/>
          <w:sz w:val="32"/>
          <w:szCs w:val="32"/>
        </w:rPr>
        <w:t>拟通过</w:t>
      </w:r>
      <w:r>
        <w:rPr>
          <w:rFonts w:hint="eastAsia" w:ascii="仿宋_GB2312" w:hAnsi="仿宋_GB2312" w:eastAsia="仿宋_GB2312" w:cs="仿宋_GB2312"/>
          <w:sz w:val="32"/>
          <w:szCs w:val="32"/>
          <w:lang w:val="en-US" w:eastAsia="zh-CN"/>
        </w:rPr>
        <w:t>公开比选</w:t>
      </w:r>
      <w:r>
        <w:rPr>
          <w:rFonts w:hint="eastAsia" w:ascii="仿宋_GB2312" w:hAnsi="仿宋_GB2312" w:eastAsia="仿宋_GB2312" w:cs="仿宋_GB2312"/>
          <w:sz w:val="32"/>
          <w:szCs w:val="32"/>
        </w:rPr>
        <w:t>方式</w:t>
      </w:r>
      <w:r>
        <w:rPr>
          <w:rFonts w:hint="eastAsia" w:ascii="仿宋_GB2312" w:hAnsi="仿宋_GB2312" w:eastAsia="仿宋_GB2312" w:cs="仿宋_GB2312"/>
          <w:sz w:val="32"/>
          <w:szCs w:val="32"/>
          <w:lang w:val="en-US" w:eastAsia="zh-CN"/>
        </w:rPr>
        <w:t>选聘中介机构，开展省国经公司品牌战略规划咨询项目。</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不论贵</w:t>
      </w:r>
      <w:r>
        <w:rPr>
          <w:rFonts w:hint="eastAsia" w:ascii="仿宋_GB2312" w:hAnsi="仿宋_GB2312" w:eastAsia="仿宋_GB2312" w:cs="仿宋_GB2312"/>
          <w:sz w:val="32"/>
          <w:szCs w:val="32"/>
          <w:lang w:val="en-US" w:eastAsia="zh-CN"/>
        </w:rPr>
        <w:t>司</w:t>
      </w:r>
      <w:r>
        <w:rPr>
          <w:rFonts w:hint="eastAsia" w:ascii="仿宋_GB2312" w:hAnsi="仿宋_GB2312" w:eastAsia="仿宋_GB2312" w:cs="仿宋_GB2312"/>
          <w:sz w:val="32"/>
          <w:szCs w:val="32"/>
        </w:rPr>
        <w:t>是否参加本次选聘活动，亦不论贵</w:t>
      </w:r>
      <w:r>
        <w:rPr>
          <w:rFonts w:hint="eastAsia" w:ascii="仿宋_GB2312" w:hAnsi="仿宋_GB2312" w:eastAsia="仿宋_GB2312" w:cs="仿宋_GB2312"/>
          <w:sz w:val="32"/>
          <w:szCs w:val="32"/>
          <w:lang w:val="en-US" w:eastAsia="zh-CN"/>
        </w:rPr>
        <w:t>司</w:t>
      </w:r>
      <w:r>
        <w:rPr>
          <w:rFonts w:hint="eastAsia" w:ascii="仿宋_GB2312" w:hAnsi="仿宋_GB2312" w:eastAsia="仿宋_GB2312" w:cs="仿宋_GB2312"/>
          <w:sz w:val="32"/>
          <w:szCs w:val="32"/>
        </w:rPr>
        <w:t>在本次选聘活动中是否取得签约资格，贵</w:t>
      </w:r>
      <w:r>
        <w:rPr>
          <w:rFonts w:hint="eastAsia" w:ascii="仿宋_GB2312" w:hAnsi="仿宋_GB2312" w:eastAsia="仿宋_GB2312" w:cs="仿宋_GB2312"/>
          <w:sz w:val="32"/>
          <w:szCs w:val="32"/>
          <w:lang w:val="en-US" w:eastAsia="zh-CN"/>
        </w:rPr>
        <w:t>司</w:t>
      </w:r>
      <w:r>
        <w:rPr>
          <w:rFonts w:hint="eastAsia" w:ascii="仿宋_GB2312" w:hAnsi="仿宋_GB2312" w:eastAsia="仿宋_GB2312" w:cs="仿宋_GB2312"/>
          <w:sz w:val="32"/>
          <w:szCs w:val="32"/>
        </w:rPr>
        <w:t>均有义务对本次选聘活动中知悉的所涉企业的信息和资料负有保密义务，不得泄露给第三人。</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一、项目背景</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省国经公司“十四五”发展规划中提出将“品牌管理”作为“十四五”规划目标实现的保障举措，并提出要强品牌规划、品牌建设、品牌推广、品牌维护等。目前省国经公司在品牌管理方面缺乏切实有效的战略引领，从而对相关业务未来的科学发展及“四川国经”金字招牌的打造产生一定影响。展省国经公司品牌战略规划，即是贯彻落实“十四五”规划相关保障举措的必然需要，也是推动公司相关业务高质量发展的切实需求。</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二、服务内容</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楷体" w:hAnsi="楷体" w:eastAsia="楷体" w:cs="楷体"/>
          <w:b/>
          <w:bCs/>
          <w:sz w:val="32"/>
          <w:szCs w:val="32"/>
          <w:lang w:val="en-US" w:eastAsia="zh-CN"/>
        </w:rPr>
      </w:pPr>
      <w:r>
        <w:rPr>
          <w:rFonts w:hint="eastAsia" w:ascii="仿宋_GB2312" w:hAnsi="仿宋_GB2312" w:eastAsia="仿宋_GB2312" w:cs="仿宋_GB2312"/>
          <w:sz w:val="32"/>
          <w:szCs w:val="32"/>
          <w:lang w:val="en-US" w:eastAsia="zh-CN"/>
        </w:rPr>
        <w:t>本项目相关需求初步如下，后期可根据项目实际需要或中介机构相关建议进行适当调整。</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楷体" w:hAnsi="楷体" w:eastAsia="楷体" w:cs="楷体"/>
          <w:b/>
          <w:bCs/>
          <w:sz w:val="32"/>
          <w:szCs w:val="32"/>
          <w:lang w:val="en-US" w:eastAsia="zh-CN"/>
        </w:rPr>
      </w:pPr>
      <w:r>
        <w:rPr>
          <w:rFonts w:hint="eastAsia" w:ascii="楷体" w:hAnsi="楷体" w:eastAsia="楷体" w:cs="楷体"/>
          <w:b/>
          <w:bCs/>
          <w:sz w:val="32"/>
          <w:szCs w:val="32"/>
          <w:lang w:val="en-US" w:eastAsia="zh-CN"/>
        </w:rPr>
        <w:t>（一）品牌管理基础</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通过调研、访谈等方式，了解公司品牌方面的管理现状，重点梳理公司品牌管理方面的优劣势，以及与一流企业之间的差距及不足。</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楷体" w:hAnsi="楷体" w:eastAsia="楷体" w:cs="楷体"/>
          <w:b/>
          <w:bCs/>
          <w:sz w:val="32"/>
          <w:szCs w:val="32"/>
          <w:lang w:val="en-US" w:eastAsia="zh-CN"/>
        </w:rPr>
      </w:pPr>
      <w:r>
        <w:rPr>
          <w:rFonts w:hint="eastAsia" w:ascii="楷体" w:hAnsi="楷体" w:eastAsia="楷体" w:cs="楷体"/>
          <w:b/>
          <w:bCs/>
          <w:sz w:val="32"/>
          <w:szCs w:val="32"/>
          <w:lang w:val="en-US" w:eastAsia="zh-CN"/>
        </w:rPr>
        <w:t>（二）品牌战略定位</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以公司“十四五”规划目标为引领，结合公司主营业务、现有品牌发展现状及未来发展方向等，提出符合公司实际需求的总体品牌战略定位、业务品牌战略定位、产品品牌战略定位。</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楷体" w:hAnsi="楷体" w:eastAsia="楷体" w:cs="楷体"/>
          <w:b/>
          <w:bCs/>
          <w:sz w:val="32"/>
          <w:szCs w:val="32"/>
          <w:lang w:val="en-US" w:eastAsia="zh-CN"/>
        </w:rPr>
      </w:pPr>
      <w:r>
        <w:rPr>
          <w:rFonts w:hint="eastAsia" w:ascii="楷体" w:hAnsi="楷体" w:eastAsia="楷体" w:cs="楷体"/>
          <w:b/>
          <w:bCs/>
          <w:sz w:val="32"/>
          <w:szCs w:val="32"/>
          <w:lang w:val="en-US" w:eastAsia="zh-CN"/>
        </w:rPr>
        <w:t>（三）品牌体系战略</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在明确品牌战略定位的基础上，制定品牌体系战略，明确未来公司总体品牌与各业务品牌、各产品品牌之间，以及各业务品牌、各产品品牌相互之间的架构关系、协同与配合策略等。</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楷体" w:hAnsi="楷体" w:eastAsia="楷体" w:cs="楷体"/>
          <w:b/>
          <w:bCs/>
          <w:sz w:val="32"/>
          <w:szCs w:val="32"/>
          <w:lang w:val="en-US" w:eastAsia="zh-CN"/>
        </w:rPr>
      </w:pPr>
      <w:r>
        <w:rPr>
          <w:rFonts w:hint="eastAsia" w:ascii="楷体" w:hAnsi="楷体" w:eastAsia="楷体" w:cs="楷体"/>
          <w:b/>
          <w:bCs/>
          <w:sz w:val="32"/>
          <w:szCs w:val="32"/>
          <w:lang w:val="en-US" w:eastAsia="zh-CN"/>
        </w:rPr>
        <w:t>（四）品牌宣传策略</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以提升品牌影响力为目标，制定品牌宣传推广的切实可行策略，重点明确相关渠道、方式，以及用于品牌宣传推广所需的经费投入额度及投入计划等。</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服务周期自服务正式开展后，预计8周，以最终成果通过省国经公司决策机构审批后为准。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三、服务相关情况说明</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以双方最终签订的服务合同有关内容为准。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四、选聘方式及限价</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highlight w:val="none"/>
          <w:lang w:val="en-US" w:eastAsia="zh-CN"/>
        </w:rPr>
        <w:t>根据《省国经公司采购选聘管理办法》有关规定，采用公开比选方式进行。本次中介机构选聘限价为不超过50万元（不含本数）。</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五、选聘原则</w:t>
      </w:r>
    </w:p>
    <w:p>
      <w:pPr>
        <w:spacing w:line="576"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质量优先，兼顾成本与效率，遵循公开、公平、公正、竞争和择优原则。</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六</w:t>
      </w:r>
      <w:r>
        <w:rPr>
          <w:rFonts w:hint="default" w:ascii="黑体" w:hAnsi="黑体" w:eastAsia="黑体" w:cs="黑体"/>
          <w:sz w:val="32"/>
          <w:szCs w:val="32"/>
          <w:lang w:val="en-US" w:eastAsia="zh-CN"/>
        </w:rPr>
        <w:t>、</w:t>
      </w:r>
      <w:r>
        <w:rPr>
          <w:rFonts w:hint="eastAsia" w:ascii="黑体" w:hAnsi="黑体" w:eastAsia="黑体" w:cs="黑体"/>
          <w:sz w:val="32"/>
          <w:szCs w:val="32"/>
          <w:lang w:val="en-US" w:eastAsia="zh-CN"/>
        </w:rPr>
        <w:t>比选程序</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（一）由公司组成5人的比选工作小组。工作小组负责制定比选工作方案，明确比选规则，并将比选方案报公司批准。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（二）工作小组发出比选文件，邀请中介机构投标。</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（三）工作小组就比选文件有关事项进行答疑。</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（四）参与比选的中介机构（申请人）按要求准备并提交投标文件，工作小组收取投标文件，签收保存。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（五）工作小组组织现场或线上开标，每家投标中介机构由1-2人参加。</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（六）评标委员会由工作小组担任。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（七）评标委员会根据评标标准，进行综合评定；推荐中标候选人，形成评标报告，由评标委员会委员签字确认。</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（八）比选工作小组将比选结果报公司审批，确定中选方后，比选工作小组向中选中介机构发出中选通知书，通知中选中介机构取得签约资格。</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（九）由公司与中选中介机构签订合同。</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七、受邀对象基本要求</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（一）依法设立，具有相应执业资质；有规范健全的服务质量控制和内部管理制度。</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（二）依法经营、依法执业，遵守法律法规、职业道德和执业准则，有良好社会信誉。</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（三）按规定通过了有关部门的年度检验。</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（四）近三年提供的服务或产品未因重大执业质量等问题受到省国资委通报。</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（五）无弄虚作假、恶意串通、营私舞弊等严重不诚信行为；未分别接受利益相对方委托，就同一事项提供有利益冲突的服务；无出具虚假或重大失实的业务报告情况；无违反合同约定给委托方造成重大损失。</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（六）符合采购选聘回避原则：</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1.供应商（中介机构）不得为招标人不具有独立法人资格的附属机构或关联单位。</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2.供应商（中介机构）原则上与参选事项涉及的当事人之间不存在过往或当下的利益或经济纠纷等情况。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3.供应商（中介机构）原则上与公司的市场化竞争对手、法律诉讼对手等对立立场的他方不存在与本次采购相关的可能导致公司产生损失的过往或当下的合作关系。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八、比选规则</w:t>
      </w:r>
    </w:p>
    <w:p>
      <w:pPr>
        <w:spacing w:line="576"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（一）本次</w:t>
      </w:r>
      <w:r>
        <w:rPr>
          <w:rFonts w:hint="eastAsia" w:ascii="仿宋_GB2312" w:hAnsi="仿宋_GB2312" w:eastAsia="仿宋_GB2312" w:cs="仿宋_GB2312"/>
          <w:sz w:val="32"/>
          <w:szCs w:val="32"/>
          <w:lang w:val="en-US" w:eastAsia="zh-CN"/>
        </w:rPr>
        <w:t>比选</w:t>
      </w:r>
      <w:r>
        <w:rPr>
          <w:rFonts w:hint="eastAsia" w:ascii="仿宋_GB2312" w:hAnsi="仿宋_GB2312" w:eastAsia="仿宋_GB2312" w:cs="仿宋_GB2312"/>
          <w:sz w:val="32"/>
          <w:szCs w:val="32"/>
        </w:rPr>
        <w:t>采取综合评分制，满分为</w:t>
      </w:r>
      <w:r>
        <w:rPr>
          <w:rFonts w:ascii="仿宋_GB2312" w:hAnsi="仿宋_GB2312" w:eastAsia="仿宋_GB2312" w:cs="仿宋_GB2312"/>
          <w:sz w:val="32"/>
          <w:szCs w:val="32"/>
        </w:rPr>
        <w:t>100</w:t>
      </w:r>
      <w:r>
        <w:rPr>
          <w:rFonts w:hint="eastAsia" w:ascii="仿宋_GB2312" w:hAnsi="仿宋_GB2312" w:eastAsia="仿宋_GB2312" w:cs="仿宋_GB2312"/>
          <w:sz w:val="32"/>
          <w:szCs w:val="32"/>
        </w:rPr>
        <w:t>分</w:t>
      </w:r>
      <w:r>
        <w:rPr>
          <w:rFonts w:hint="eastAsia" w:ascii="仿宋_GB2312" w:hAnsi="仿宋_GB2312" w:eastAsia="仿宋_GB2312" w:cs="仿宋_GB2312"/>
          <w:sz w:val="32"/>
          <w:szCs w:val="32"/>
          <w:lang w:eastAsia="zh-CN"/>
        </w:rPr>
        <w:t>。</w:t>
      </w:r>
    </w:p>
    <w:p>
      <w:pPr>
        <w:spacing w:line="576"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（二）</w:t>
      </w:r>
      <w:r>
        <w:rPr>
          <w:rFonts w:hint="eastAsia" w:ascii="仿宋_GB2312" w:hAnsi="仿宋_GB2312" w:eastAsia="仿宋_GB2312" w:cs="仿宋_GB2312"/>
          <w:sz w:val="32"/>
          <w:szCs w:val="32"/>
          <w:lang w:val="en-US" w:eastAsia="zh-CN"/>
        </w:rPr>
        <w:t>中标</w:t>
      </w:r>
      <w:r>
        <w:rPr>
          <w:rFonts w:hint="eastAsia" w:ascii="仿宋_GB2312" w:hAnsi="仿宋_GB2312" w:eastAsia="仿宋_GB2312" w:cs="仿宋_GB2312"/>
          <w:sz w:val="32"/>
          <w:szCs w:val="32"/>
        </w:rPr>
        <w:t>对象的确定：由评审委员会按照评分标准，根据各申请人提交的</w:t>
      </w:r>
      <w:r>
        <w:rPr>
          <w:rFonts w:hint="eastAsia" w:ascii="仿宋_GB2312" w:hAnsi="仿宋_GB2312" w:eastAsia="仿宋_GB2312" w:cs="仿宋_GB2312"/>
          <w:sz w:val="32"/>
          <w:szCs w:val="32"/>
          <w:lang w:val="en-US" w:eastAsia="zh-CN"/>
        </w:rPr>
        <w:t>投标</w:t>
      </w:r>
      <w:r>
        <w:rPr>
          <w:rFonts w:hint="eastAsia" w:ascii="仿宋_GB2312" w:hAnsi="仿宋_GB2312" w:eastAsia="仿宋_GB2312" w:cs="仿宋_GB2312"/>
          <w:sz w:val="32"/>
          <w:szCs w:val="32"/>
        </w:rPr>
        <w:t>文件进行评分，以得分高低排序，最后结合申请人情况，确定</w:t>
      </w:r>
      <w:r>
        <w:rPr>
          <w:rFonts w:hint="eastAsia" w:ascii="仿宋_GB2312" w:hAnsi="仿宋_GB2312" w:eastAsia="仿宋_GB2312" w:cs="仿宋_GB2312"/>
          <w:sz w:val="32"/>
          <w:szCs w:val="32"/>
          <w:lang w:val="en-US" w:eastAsia="zh-CN"/>
        </w:rPr>
        <w:t>中标</w:t>
      </w:r>
      <w:r>
        <w:rPr>
          <w:rFonts w:hint="eastAsia" w:ascii="仿宋_GB2312" w:hAnsi="仿宋_GB2312" w:eastAsia="仿宋_GB2312" w:cs="仿宋_GB2312"/>
          <w:sz w:val="32"/>
          <w:szCs w:val="32"/>
        </w:rPr>
        <w:t>对象</w:t>
      </w:r>
      <w:r>
        <w:rPr>
          <w:rFonts w:hint="eastAsia" w:ascii="仿宋_GB2312" w:hAnsi="仿宋_GB2312" w:eastAsia="仿宋_GB2312" w:cs="仿宋_GB2312"/>
          <w:sz w:val="32"/>
          <w:szCs w:val="32"/>
          <w:lang w:eastAsia="zh-CN"/>
        </w:rPr>
        <w:t>。</w:t>
      </w:r>
    </w:p>
    <w:p>
      <w:pPr>
        <w:pStyle w:val="2"/>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（三）本次报价可以二次报价，二次报价截止时间为</w:t>
      </w:r>
      <w:r>
        <w:rPr>
          <w:rFonts w:hint="eastAsia" w:ascii="仿宋_GB2312" w:hAnsi="仿宋_GB2312" w:eastAsia="仿宋_GB2312" w:cs="仿宋_GB2312"/>
          <w:sz w:val="32"/>
          <w:szCs w:val="32"/>
          <w:lang w:val="en-US" w:eastAsia="zh-CN"/>
        </w:rPr>
        <w:t>开标后第二日</w:t>
      </w:r>
      <w:r>
        <w:rPr>
          <w:rFonts w:hint="eastAsia" w:ascii="仿宋_GB2312" w:hAnsi="仿宋_GB2312" w:eastAsia="仿宋_GB2312" w:cs="仿宋_GB2312"/>
          <w:sz w:val="32"/>
          <w:szCs w:val="32"/>
        </w:rPr>
        <w:t>上午</w:t>
      </w:r>
      <w:r>
        <w:rPr>
          <w:rFonts w:hint="eastAsia" w:ascii="仿宋_GB2312" w:hAnsi="仿宋_GB2312" w:eastAsia="仿宋_GB2312" w:cs="仿宋_GB2312"/>
          <w:sz w:val="32"/>
          <w:szCs w:val="32"/>
          <w:lang w:val="en-US" w:eastAsia="zh-CN"/>
        </w:rPr>
        <w:t>10:00</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九、评分规则</w:t>
      </w:r>
    </w:p>
    <w:p>
      <w:pPr>
        <w:keepNext w:val="0"/>
        <w:keepLines w:val="0"/>
        <w:pageBreakBefore w:val="0"/>
        <w:widowControl/>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b/>
          <w:sz w:val="32"/>
          <w:szCs w:val="32"/>
        </w:rPr>
      </w:pPr>
      <w:r>
        <w:rPr>
          <w:rFonts w:hint="eastAsia" w:ascii="仿宋_GB2312" w:hAnsi="仿宋_GB2312" w:eastAsia="仿宋_GB2312" w:cs="仿宋_GB2312"/>
          <w:color w:val="000000"/>
          <w:sz w:val="32"/>
          <w:szCs w:val="32"/>
          <w:lang w:val="en-US" w:eastAsia="zh-CN"/>
        </w:rPr>
        <w:t>本次选聘</w:t>
      </w:r>
      <w:r>
        <w:rPr>
          <w:rFonts w:hint="eastAsia" w:ascii="仿宋_GB2312" w:hAnsi="仿宋_GB2312" w:eastAsia="仿宋_GB2312" w:cs="仿宋_GB2312"/>
          <w:color w:val="000000"/>
          <w:sz w:val="32"/>
          <w:szCs w:val="32"/>
        </w:rPr>
        <w:t>采用综合评分办法。分值由价格、商务、技术三部分构成，采用百分制。</w:t>
      </w:r>
      <w:r>
        <w:rPr>
          <w:rFonts w:hint="eastAsia" w:ascii="仿宋_GB2312" w:hAnsi="仿宋_GB2312" w:eastAsia="仿宋_GB2312" w:cs="仿宋_GB2312"/>
          <w:color w:val="000000"/>
          <w:sz w:val="32"/>
          <w:szCs w:val="32"/>
          <w:lang w:val="en-US" w:eastAsia="zh-CN"/>
        </w:rPr>
        <w:t>比选工作</w:t>
      </w:r>
      <w:r>
        <w:rPr>
          <w:rFonts w:hint="eastAsia" w:ascii="仿宋_GB2312" w:hAnsi="仿宋_GB2312" w:eastAsia="仿宋_GB2312" w:cs="仿宋_GB2312"/>
          <w:color w:val="000000"/>
          <w:sz w:val="32"/>
          <w:szCs w:val="32"/>
        </w:rPr>
        <w:t>小组按</w:t>
      </w:r>
      <w:r>
        <w:rPr>
          <w:rFonts w:hint="eastAsia" w:ascii="仿宋_GB2312" w:hAnsi="仿宋_GB2312" w:eastAsia="仿宋_GB2312" w:cs="仿宋_GB2312"/>
          <w:color w:val="000000"/>
          <w:sz w:val="32"/>
          <w:szCs w:val="32"/>
          <w:lang w:val="en-US" w:eastAsia="zh-CN"/>
        </w:rPr>
        <w:t>候选中介机构</w:t>
      </w:r>
      <w:r>
        <w:rPr>
          <w:rFonts w:hint="eastAsia" w:ascii="仿宋_GB2312" w:hAnsi="仿宋_GB2312" w:eastAsia="仿宋_GB2312" w:cs="仿宋_GB2312"/>
          <w:color w:val="000000"/>
          <w:sz w:val="32"/>
          <w:szCs w:val="32"/>
        </w:rPr>
        <w:t>综合得分由高到低排列顺序。得分相同的，按报价由低到高顺序排列；得分且价格相同的，按技术指标优劣顺序排列。</w:t>
      </w:r>
      <w:r>
        <w:rPr>
          <w:rFonts w:hint="eastAsia" w:ascii="仿宋_GB2312" w:hAnsi="仿宋_GB2312" w:eastAsia="仿宋_GB2312" w:cs="仿宋_GB2312"/>
          <w:color w:val="000000"/>
          <w:sz w:val="32"/>
          <w:szCs w:val="32"/>
          <w:lang w:val="en-US" w:eastAsia="zh-CN"/>
        </w:rPr>
        <w:t>比选工作</w:t>
      </w:r>
      <w:r>
        <w:rPr>
          <w:rFonts w:hint="eastAsia" w:ascii="仿宋_GB2312" w:hAnsi="仿宋_GB2312" w:eastAsia="仿宋_GB2312" w:cs="仿宋_GB2312"/>
          <w:color w:val="000000"/>
          <w:sz w:val="32"/>
          <w:szCs w:val="32"/>
        </w:rPr>
        <w:t>小组根据</w:t>
      </w:r>
      <w:r>
        <w:rPr>
          <w:rFonts w:hint="eastAsia" w:ascii="仿宋_GB2312" w:hAnsi="仿宋_GB2312" w:eastAsia="仿宋_GB2312" w:cs="仿宋_GB2312"/>
          <w:color w:val="000000"/>
          <w:sz w:val="32"/>
          <w:szCs w:val="32"/>
          <w:lang w:val="en-US" w:eastAsia="zh-CN"/>
        </w:rPr>
        <w:t>投标中介机构</w:t>
      </w:r>
      <w:r>
        <w:rPr>
          <w:rFonts w:hint="eastAsia" w:ascii="仿宋_GB2312" w:hAnsi="仿宋_GB2312" w:eastAsia="仿宋_GB2312" w:cs="仿宋_GB2312"/>
          <w:color w:val="000000"/>
          <w:sz w:val="32"/>
          <w:szCs w:val="32"/>
        </w:rPr>
        <w:t>的综合得分</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从高到低推荐1名成交侯选</w:t>
      </w:r>
      <w:r>
        <w:rPr>
          <w:rFonts w:hint="eastAsia" w:ascii="仿宋_GB2312" w:hAnsi="仿宋_GB2312" w:eastAsia="仿宋_GB2312" w:cs="仿宋_GB2312"/>
          <w:color w:val="000000"/>
          <w:sz w:val="32"/>
          <w:szCs w:val="32"/>
          <w:lang w:val="en-US" w:eastAsia="zh-CN"/>
        </w:rPr>
        <w:t>中介机构</w:t>
      </w:r>
      <w:r>
        <w:rPr>
          <w:rFonts w:hint="eastAsia" w:ascii="仿宋_GB2312" w:hAnsi="仿宋_GB2312" w:eastAsia="仿宋_GB2312" w:cs="仿宋_GB2312"/>
          <w:color w:val="000000"/>
          <w:sz w:val="32"/>
          <w:szCs w:val="32"/>
        </w:rPr>
        <w:t>。</w:t>
      </w:r>
    </w:p>
    <w:tbl>
      <w:tblPr>
        <w:tblStyle w:val="5"/>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074"/>
        <w:gridCol w:w="1328"/>
        <w:gridCol w:w="61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 w:hRule="atLeast"/>
        </w:trPr>
        <w:tc>
          <w:tcPr>
            <w:tcW w:w="630" w:type="pct"/>
            <w:vAlign w:val="center"/>
          </w:tcPr>
          <w:p>
            <w:pPr>
              <w:jc w:val="center"/>
              <w:rPr>
                <w:rFonts w:hint="eastAsia" w:ascii="宋体" w:hAnsi="宋体" w:cs="宋体"/>
                <w:b/>
                <w:sz w:val="24"/>
                <w:szCs w:val="24"/>
              </w:rPr>
            </w:pPr>
            <w:r>
              <w:rPr>
                <w:rFonts w:hint="eastAsia" w:ascii="宋体" w:hAnsi="宋体" w:cs="宋体"/>
                <w:b/>
                <w:sz w:val="24"/>
                <w:szCs w:val="24"/>
              </w:rPr>
              <w:t>评分</w:t>
            </w:r>
          </w:p>
          <w:p>
            <w:pPr>
              <w:jc w:val="center"/>
              <w:rPr>
                <w:rFonts w:ascii="宋体" w:hAnsi="宋体"/>
                <w:b/>
                <w:sz w:val="24"/>
                <w:szCs w:val="24"/>
              </w:rPr>
            </w:pPr>
            <w:r>
              <w:rPr>
                <w:rFonts w:hint="eastAsia" w:ascii="宋体" w:hAnsi="宋体" w:cs="宋体"/>
                <w:b/>
                <w:sz w:val="24"/>
                <w:szCs w:val="24"/>
              </w:rPr>
              <w:t>项目</w:t>
            </w:r>
          </w:p>
        </w:tc>
        <w:tc>
          <w:tcPr>
            <w:tcW w:w="4369" w:type="pct"/>
            <w:gridSpan w:val="2"/>
            <w:tcBorders>
              <w:right w:val="single" w:color="auto" w:sz="4" w:space="0"/>
            </w:tcBorders>
            <w:vAlign w:val="center"/>
          </w:tcPr>
          <w:p>
            <w:pPr>
              <w:ind w:firstLine="482" w:firstLineChars="200"/>
              <w:jc w:val="center"/>
              <w:rPr>
                <w:rFonts w:ascii="宋体" w:hAnsi="宋体"/>
                <w:b/>
                <w:sz w:val="24"/>
                <w:szCs w:val="24"/>
              </w:rPr>
            </w:pPr>
            <w:r>
              <w:rPr>
                <w:rFonts w:hint="eastAsia" w:ascii="宋体" w:hAnsi="宋体" w:cs="宋体"/>
                <w:b/>
                <w:sz w:val="24"/>
                <w:szCs w:val="24"/>
              </w:rPr>
              <w:t>分项评审内容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4" w:hRule="atLeast"/>
        </w:trPr>
        <w:tc>
          <w:tcPr>
            <w:tcW w:w="630" w:type="pct"/>
            <w:vAlign w:val="center"/>
          </w:tcPr>
          <w:p>
            <w:pPr>
              <w:jc w:val="center"/>
              <w:rPr>
                <w:rFonts w:ascii="宋体" w:hAnsi="宋体"/>
                <w:sz w:val="24"/>
                <w:szCs w:val="24"/>
              </w:rPr>
            </w:pPr>
            <w:r>
              <w:rPr>
                <w:rFonts w:hint="eastAsia" w:ascii="宋体" w:hAnsi="宋体" w:cs="宋体"/>
                <w:sz w:val="24"/>
                <w:szCs w:val="24"/>
              </w:rPr>
              <w:t>价格</w:t>
            </w:r>
            <w:r>
              <w:rPr>
                <w:rFonts w:hint="eastAsia" w:ascii="宋体" w:hAnsi="宋体" w:cs="宋体"/>
                <w:sz w:val="24"/>
                <w:szCs w:val="24"/>
                <w:lang w:val="en-US" w:eastAsia="zh-CN"/>
              </w:rPr>
              <w:t>部分</w:t>
            </w:r>
            <w:r>
              <w:rPr>
                <w:rFonts w:hint="eastAsia" w:ascii="宋体" w:hAnsi="宋体" w:cs="宋体"/>
                <w:sz w:val="24"/>
                <w:szCs w:val="24"/>
              </w:rPr>
              <w:t>（20分）</w:t>
            </w:r>
          </w:p>
        </w:tc>
        <w:tc>
          <w:tcPr>
            <w:tcW w:w="4369" w:type="pct"/>
            <w:gridSpan w:val="2"/>
            <w:tcBorders>
              <w:right w:val="single" w:color="auto" w:sz="4" w:space="0"/>
            </w:tcBorders>
          </w:tcPr>
          <w:p>
            <w:pPr>
              <w:ind w:firstLine="33" w:firstLineChars="14"/>
              <w:rPr>
                <w:rFonts w:ascii="宋体" w:hAnsi="宋体"/>
                <w:sz w:val="24"/>
                <w:szCs w:val="24"/>
              </w:rPr>
            </w:pPr>
            <w:r>
              <w:rPr>
                <w:rFonts w:hint="eastAsia" w:ascii="宋体" w:hAnsi="宋体" w:cs="宋体"/>
                <w:color w:val="auto"/>
                <w:sz w:val="24"/>
                <w:szCs w:val="24"/>
              </w:rPr>
              <w:t>价格分采用低价优先法计算，即满足</w:t>
            </w:r>
            <w:r>
              <w:rPr>
                <w:rFonts w:hint="eastAsia" w:ascii="宋体" w:hAnsi="宋体" w:cs="宋体"/>
                <w:color w:val="auto"/>
                <w:sz w:val="24"/>
                <w:szCs w:val="24"/>
                <w:lang w:val="en-US" w:eastAsia="zh-CN"/>
              </w:rPr>
              <w:t>投标邀请书</w:t>
            </w:r>
            <w:r>
              <w:rPr>
                <w:rFonts w:hint="eastAsia" w:ascii="宋体" w:hAnsi="宋体" w:cs="宋体"/>
                <w:color w:val="auto"/>
                <w:sz w:val="24"/>
                <w:szCs w:val="24"/>
              </w:rPr>
              <w:t>要求且最终报价最低的报价为评审基准价，其价格分为满分。其他</w:t>
            </w:r>
            <w:r>
              <w:rPr>
                <w:rFonts w:hint="eastAsia" w:ascii="宋体" w:hAnsi="宋体" w:cs="宋体"/>
                <w:color w:val="auto"/>
                <w:sz w:val="24"/>
                <w:szCs w:val="24"/>
                <w:lang w:val="en-US" w:eastAsia="zh-CN"/>
              </w:rPr>
              <w:t>中介机构</w:t>
            </w:r>
            <w:r>
              <w:rPr>
                <w:rFonts w:hint="eastAsia" w:ascii="宋体" w:hAnsi="宋体" w:cs="宋体"/>
                <w:color w:val="auto"/>
                <w:sz w:val="24"/>
                <w:szCs w:val="24"/>
              </w:rPr>
              <w:t>的价格分统一按下列公式计算：报价得分</w:t>
            </w:r>
            <w:r>
              <w:rPr>
                <w:rFonts w:ascii="宋体" w:hAnsi="宋体" w:cs="宋体"/>
                <w:color w:val="auto"/>
                <w:sz w:val="24"/>
                <w:szCs w:val="24"/>
              </w:rPr>
              <w:t>=</w:t>
            </w:r>
            <w:r>
              <w:rPr>
                <w:rFonts w:hint="eastAsia" w:ascii="宋体" w:hAnsi="宋体" w:cs="宋体"/>
                <w:color w:val="auto"/>
                <w:sz w:val="24"/>
                <w:szCs w:val="24"/>
              </w:rPr>
              <w:t>（评审基准价／最终报价）×</w:t>
            </w:r>
            <w:r>
              <w:rPr>
                <w:rFonts w:hint="eastAsia" w:ascii="宋体" w:hAnsi="宋体" w:cs="宋体"/>
                <w:color w:val="auto"/>
                <w:sz w:val="24"/>
                <w:szCs w:val="24"/>
                <w:lang w:val="en-US" w:eastAsia="zh-CN"/>
              </w:rPr>
              <w:t>2</w:t>
            </w:r>
            <w:r>
              <w:rPr>
                <w:rFonts w:hint="eastAsia" w:ascii="宋体" w:hAnsi="宋体" w:cs="宋体"/>
                <w:color w:val="auto"/>
                <w:sz w:val="24"/>
                <w:szCs w:val="24"/>
              </w:rPr>
              <w:t>0</w:t>
            </w:r>
            <w:r>
              <w:rPr>
                <w:rFonts w:ascii="宋体" w:hAnsi="宋体" w:cs="宋体"/>
                <w:color w:val="auto"/>
                <w:sz w:val="24"/>
                <w:szCs w:val="24"/>
              </w:rPr>
              <w:t>%</w:t>
            </w:r>
            <w:r>
              <w:rPr>
                <w:rFonts w:hint="eastAsia" w:ascii="宋体" w:hAnsi="宋体" w:cs="宋体"/>
                <w:color w:val="auto"/>
                <w:sz w:val="24"/>
                <w:szCs w:val="24"/>
              </w:rPr>
              <w:t>×</w:t>
            </w:r>
            <w:r>
              <w:rPr>
                <w:rFonts w:ascii="宋体" w:hAnsi="宋体" w:cs="宋体"/>
                <w:color w:val="auto"/>
                <w:sz w:val="24"/>
                <w:szCs w:val="24"/>
              </w:rPr>
              <w:t>100</w:t>
            </w:r>
            <w:r>
              <w:rPr>
                <w:rFonts w:hint="eastAsia" w:ascii="宋体" w:hAnsi="宋体" w:cs="宋体"/>
                <w:color w:val="auto"/>
                <w:sz w:val="24"/>
                <w:szCs w:val="24"/>
              </w:rPr>
              <w:t>，计算分数时四舍五入取小数点后两位。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30" w:type="pct"/>
            <w:vMerge w:val="restart"/>
            <w:vAlign w:val="center"/>
          </w:tcPr>
          <w:p>
            <w:pPr>
              <w:jc w:val="center"/>
              <w:rPr>
                <w:rFonts w:ascii="宋体" w:hAnsi="宋体"/>
                <w:sz w:val="24"/>
                <w:szCs w:val="24"/>
              </w:rPr>
            </w:pPr>
            <w:r>
              <w:rPr>
                <w:rFonts w:hint="eastAsia" w:ascii="宋体" w:hAnsi="宋体"/>
                <w:sz w:val="24"/>
                <w:szCs w:val="24"/>
              </w:rPr>
              <w:t>技术部分（40分）</w:t>
            </w:r>
          </w:p>
        </w:tc>
        <w:tc>
          <w:tcPr>
            <w:tcW w:w="779" w:type="pct"/>
            <w:vAlign w:val="center"/>
          </w:tcPr>
          <w:p>
            <w:pPr>
              <w:jc w:val="left"/>
              <w:rPr>
                <w:rFonts w:ascii="宋体" w:hAnsi="宋体"/>
                <w:sz w:val="24"/>
                <w:szCs w:val="24"/>
              </w:rPr>
            </w:pPr>
            <w:r>
              <w:rPr>
                <w:rFonts w:hint="eastAsia" w:ascii="宋体" w:hAnsi="宋体"/>
                <w:sz w:val="24"/>
                <w:szCs w:val="24"/>
              </w:rPr>
              <w:t>项目实施方案（20分）</w:t>
            </w:r>
          </w:p>
        </w:tc>
        <w:tc>
          <w:tcPr>
            <w:tcW w:w="3590" w:type="pct"/>
            <w:tcBorders>
              <w:right w:val="single" w:color="auto" w:sz="4" w:space="0"/>
            </w:tcBorders>
            <w:vAlign w:val="center"/>
          </w:tcPr>
          <w:p>
            <w:pPr>
              <w:jc w:val="left"/>
              <w:rPr>
                <w:rFonts w:ascii="宋体" w:hAnsi="宋体"/>
                <w:color w:val="000000"/>
                <w:sz w:val="24"/>
                <w:szCs w:val="24"/>
              </w:rPr>
            </w:pPr>
            <w:r>
              <w:rPr>
                <w:rFonts w:hint="eastAsia" w:ascii="宋体" w:hAnsi="宋体"/>
                <w:color w:val="000000"/>
                <w:sz w:val="24"/>
                <w:szCs w:val="24"/>
              </w:rPr>
              <w:t>1.内容符合实际且满足项目基本服务需求的具备可操作性的得12分；</w:t>
            </w:r>
          </w:p>
          <w:p>
            <w:pPr>
              <w:jc w:val="left"/>
              <w:rPr>
                <w:rFonts w:ascii="宋体" w:hAnsi="宋体"/>
                <w:color w:val="000000"/>
                <w:sz w:val="24"/>
                <w:szCs w:val="24"/>
              </w:rPr>
            </w:pPr>
            <w:r>
              <w:rPr>
                <w:rFonts w:hint="eastAsia" w:ascii="宋体" w:hAnsi="宋体"/>
                <w:color w:val="000000"/>
                <w:sz w:val="24"/>
                <w:szCs w:val="24"/>
              </w:rPr>
              <w:t>2.针对</w:t>
            </w:r>
            <w:r>
              <w:rPr>
                <w:rFonts w:hint="eastAsia" w:ascii="宋体" w:hAnsi="宋体"/>
                <w:color w:val="000000"/>
                <w:sz w:val="24"/>
                <w:szCs w:val="24"/>
                <w:lang w:val="en-US" w:eastAsia="zh-CN"/>
              </w:rPr>
              <w:t>受邀中介机构</w:t>
            </w:r>
            <w:r>
              <w:rPr>
                <w:rFonts w:hint="eastAsia" w:ascii="宋体" w:hAnsi="宋体"/>
                <w:color w:val="000000"/>
                <w:sz w:val="24"/>
                <w:szCs w:val="24"/>
              </w:rPr>
              <w:t>提供的项目实施方案，满足项目基本服务需求，内容详细、科学合理、符合实际、实操性较强的得16分；</w:t>
            </w:r>
          </w:p>
          <w:p>
            <w:pPr>
              <w:jc w:val="left"/>
              <w:rPr>
                <w:rFonts w:ascii="宋体" w:hAnsi="宋体"/>
                <w:color w:val="000000"/>
                <w:sz w:val="24"/>
                <w:szCs w:val="24"/>
              </w:rPr>
            </w:pPr>
            <w:r>
              <w:rPr>
                <w:rFonts w:hint="eastAsia" w:ascii="宋体" w:hAnsi="宋体"/>
                <w:color w:val="000000"/>
                <w:sz w:val="24"/>
                <w:szCs w:val="24"/>
              </w:rPr>
              <w:t>3.经综合评审，针对</w:t>
            </w:r>
            <w:r>
              <w:rPr>
                <w:rFonts w:hint="eastAsia" w:ascii="宋体" w:hAnsi="宋体"/>
                <w:color w:val="000000"/>
                <w:sz w:val="24"/>
                <w:szCs w:val="24"/>
                <w:lang w:val="en-US" w:eastAsia="zh-CN"/>
              </w:rPr>
              <w:t>受邀中介机构</w:t>
            </w:r>
            <w:r>
              <w:rPr>
                <w:rFonts w:hint="eastAsia" w:ascii="宋体" w:hAnsi="宋体"/>
                <w:color w:val="000000"/>
                <w:sz w:val="24"/>
                <w:szCs w:val="24"/>
              </w:rPr>
              <w:t>提供的项目实施方案中根据对本项目的理解及工作计划方案，对此项目做出整体方案阐述：内容详细、科学合理、符合实际、专业性强、实操性强的得20分。</w:t>
            </w:r>
          </w:p>
          <w:p>
            <w:pPr>
              <w:jc w:val="left"/>
              <w:rPr>
                <w:rFonts w:ascii="宋体" w:hAnsi="宋体"/>
                <w:sz w:val="24"/>
                <w:szCs w:val="24"/>
              </w:rPr>
            </w:pPr>
            <w:r>
              <w:rPr>
                <w:rFonts w:hint="eastAsia" w:ascii="宋体" w:hAnsi="宋体"/>
                <w:b/>
                <w:bCs/>
                <w:color w:val="000000"/>
                <w:sz w:val="24"/>
                <w:szCs w:val="24"/>
              </w:rPr>
              <w:t>（评审依据：</w:t>
            </w:r>
            <w:r>
              <w:rPr>
                <w:rFonts w:hint="eastAsia" w:ascii="宋体" w:hAnsi="宋体"/>
                <w:b/>
                <w:bCs/>
                <w:color w:val="000000"/>
                <w:sz w:val="24"/>
                <w:szCs w:val="24"/>
                <w:lang w:val="en-US" w:eastAsia="zh-CN"/>
              </w:rPr>
              <w:t>投标</w:t>
            </w:r>
            <w:r>
              <w:rPr>
                <w:rFonts w:hint="eastAsia" w:ascii="宋体" w:hAnsi="宋体"/>
                <w:b/>
                <w:bCs/>
                <w:color w:val="000000"/>
                <w:sz w:val="24"/>
                <w:szCs w:val="24"/>
              </w:rPr>
              <w:t>文件中提供的</w:t>
            </w:r>
            <w:r>
              <w:rPr>
                <w:rFonts w:hint="eastAsia" w:ascii="宋体" w:hAnsi="宋体"/>
                <w:b/>
                <w:bCs/>
                <w:sz w:val="24"/>
                <w:szCs w:val="24"/>
              </w:rPr>
              <w:t>项目实施方案。</w:t>
            </w:r>
            <w:r>
              <w:rPr>
                <w:rFonts w:hint="eastAsia" w:ascii="宋体" w:hAnsi="宋体"/>
                <w:b/>
                <w:bCs/>
                <w:color w:val="000000"/>
                <w:sz w:val="24"/>
                <w:szCs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trPr>
        <w:tc>
          <w:tcPr>
            <w:tcW w:w="630" w:type="pct"/>
            <w:vMerge w:val="continue"/>
          </w:tcPr>
          <w:p>
            <w:pPr>
              <w:jc w:val="center"/>
              <w:rPr>
                <w:rFonts w:ascii="宋体" w:hAnsi="宋体" w:cs="宋体"/>
                <w:sz w:val="24"/>
                <w:szCs w:val="24"/>
              </w:rPr>
            </w:pPr>
          </w:p>
        </w:tc>
        <w:tc>
          <w:tcPr>
            <w:tcW w:w="779" w:type="pct"/>
            <w:vAlign w:val="center"/>
          </w:tcPr>
          <w:p>
            <w:pPr>
              <w:rPr>
                <w:rFonts w:ascii="宋体" w:hAnsi="宋体"/>
                <w:sz w:val="24"/>
                <w:szCs w:val="24"/>
              </w:rPr>
            </w:pPr>
            <w:r>
              <w:rPr>
                <w:rFonts w:hint="eastAsia" w:ascii="宋体" w:hAnsi="宋体"/>
                <w:sz w:val="24"/>
                <w:szCs w:val="24"/>
              </w:rPr>
              <w:t>服务保障及措施（10分）</w:t>
            </w:r>
          </w:p>
        </w:tc>
        <w:tc>
          <w:tcPr>
            <w:tcW w:w="3590" w:type="pct"/>
            <w:tcBorders>
              <w:right w:val="single" w:color="auto" w:sz="4" w:space="0"/>
            </w:tcBorders>
            <w:vAlign w:val="center"/>
          </w:tcPr>
          <w:p>
            <w:pPr>
              <w:tabs>
                <w:tab w:val="left" w:pos="312"/>
              </w:tabs>
              <w:ind w:left="31"/>
              <w:jc w:val="left"/>
              <w:rPr>
                <w:rFonts w:ascii="宋体" w:hAnsi="宋体"/>
                <w:sz w:val="24"/>
                <w:szCs w:val="24"/>
              </w:rPr>
            </w:pPr>
            <w:r>
              <w:rPr>
                <w:rFonts w:hint="eastAsia" w:ascii="宋体" w:hAnsi="宋体"/>
                <w:sz w:val="24"/>
                <w:szCs w:val="24"/>
              </w:rPr>
              <w:t>1.内容符合实际且满足项目基本服务需求的具备可操作性的得6分；</w:t>
            </w:r>
          </w:p>
          <w:p>
            <w:pPr>
              <w:tabs>
                <w:tab w:val="left" w:pos="312"/>
              </w:tabs>
              <w:ind w:left="31"/>
              <w:jc w:val="left"/>
              <w:rPr>
                <w:rFonts w:ascii="宋体" w:hAnsi="宋体"/>
                <w:sz w:val="24"/>
                <w:szCs w:val="24"/>
              </w:rPr>
            </w:pPr>
            <w:r>
              <w:rPr>
                <w:rFonts w:hint="eastAsia" w:ascii="宋体" w:hAnsi="宋体"/>
                <w:sz w:val="24"/>
                <w:szCs w:val="24"/>
              </w:rPr>
              <w:t>2.针对</w:t>
            </w:r>
            <w:r>
              <w:rPr>
                <w:rFonts w:hint="eastAsia" w:ascii="宋体" w:hAnsi="宋体"/>
                <w:color w:val="000000"/>
                <w:sz w:val="24"/>
                <w:szCs w:val="24"/>
                <w:lang w:val="en-US" w:eastAsia="zh-CN"/>
              </w:rPr>
              <w:t>受邀中介机构</w:t>
            </w:r>
            <w:r>
              <w:rPr>
                <w:rFonts w:hint="eastAsia" w:ascii="宋体" w:hAnsi="宋体"/>
                <w:sz w:val="24"/>
                <w:szCs w:val="24"/>
              </w:rPr>
              <w:t>提供的服务保障及措施方案满足项目基本服务需求，内容详细、科学合理、符合实际、实操性较强得8分；</w:t>
            </w:r>
          </w:p>
          <w:p>
            <w:pPr>
              <w:jc w:val="left"/>
              <w:rPr>
                <w:rFonts w:ascii="宋体" w:hAnsi="宋体"/>
                <w:sz w:val="24"/>
                <w:szCs w:val="24"/>
              </w:rPr>
            </w:pPr>
            <w:r>
              <w:rPr>
                <w:rFonts w:hint="eastAsia" w:ascii="宋体" w:hAnsi="宋体"/>
                <w:sz w:val="24"/>
                <w:szCs w:val="24"/>
              </w:rPr>
              <w:t>3.经综合评审，针对</w:t>
            </w:r>
            <w:r>
              <w:rPr>
                <w:rFonts w:hint="eastAsia" w:ascii="宋体" w:hAnsi="宋体"/>
                <w:color w:val="000000"/>
                <w:sz w:val="24"/>
                <w:szCs w:val="24"/>
                <w:lang w:val="en-US" w:eastAsia="zh-CN"/>
              </w:rPr>
              <w:t>受邀中介机构</w:t>
            </w:r>
            <w:r>
              <w:rPr>
                <w:rFonts w:hint="eastAsia" w:ascii="宋体" w:hAnsi="宋体"/>
                <w:sz w:val="24"/>
                <w:szCs w:val="24"/>
              </w:rPr>
              <w:t>提供的服务保障及措施方案，主要工作流程、重点工作、保证措施及对项目工作成果的承诺进行综合评审：每个要点内容详细且科学合理、符合实际、操作性强的得10分。</w:t>
            </w:r>
          </w:p>
          <w:p>
            <w:pPr>
              <w:jc w:val="left"/>
              <w:rPr>
                <w:rFonts w:ascii="宋体" w:hAnsi="宋体"/>
                <w:sz w:val="24"/>
                <w:szCs w:val="24"/>
              </w:rPr>
            </w:pPr>
            <w:r>
              <w:rPr>
                <w:rFonts w:hint="eastAsia" w:ascii="宋体" w:hAnsi="宋体"/>
                <w:b/>
                <w:bCs/>
                <w:sz w:val="24"/>
                <w:szCs w:val="24"/>
              </w:rPr>
              <w:t>（评审依据：</w:t>
            </w:r>
            <w:r>
              <w:rPr>
                <w:rFonts w:hint="eastAsia" w:ascii="宋体" w:hAnsi="宋体"/>
                <w:b/>
                <w:bCs/>
                <w:color w:val="000000"/>
                <w:sz w:val="24"/>
                <w:szCs w:val="24"/>
                <w:lang w:val="en-US" w:eastAsia="zh-CN"/>
              </w:rPr>
              <w:t>投标</w:t>
            </w:r>
            <w:r>
              <w:rPr>
                <w:rFonts w:hint="eastAsia" w:ascii="宋体" w:hAnsi="宋体"/>
                <w:b/>
                <w:bCs/>
                <w:color w:val="000000"/>
                <w:sz w:val="24"/>
                <w:szCs w:val="24"/>
              </w:rPr>
              <w:t>文件</w:t>
            </w:r>
            <w:r>
              <w:rPr>
                <w:rFonts w:hint="eastAsia" w:ascii="宋体" w:hAnsi="宋体"/>
                <w:b/>
                <w:bCs/>
                <w:sz w:val="24"/>
                <w:szCs w:val="24"/>
              </w:rPr>
              <w:t>中提供的服务保障及措施方案。）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630" w:type="pct"/>
            <w:vMerge w:val="continue"/>
          </w:tcPr>
          <w:p>
            <w:pPr>
              <w:jc w:val="center"/>
              <w:rPr>
                <w:rFonts w:ascii="宋体" w:hAnsi="宋体"/>
                <w:sz w:val="24"/>
                <w:szCs w:val="24"/>
              </w:rPr>
            </w:pPr>
          </w:p>
        </w:tc>
        <w:tc>
          <w:tcPr>
            <w:tcW w:w="779" w:type="pct"/>
            <w:vAlign w:val="center"/>
          </w:tcPr>
          <w:p>
            <w:pPr>
              <w:rPr>
                <w:rFonts w:ascii="宋体" w:hAnsi="宋体"/>
                <w:sz w:val="24"/>
                <w:szCs w:val="24"/>
                <w:highlight w:val="none"/>
              </w:rPr>
            </w:pPr>
            <w:r>
              <w:rPr>
                <w:rFonts w:hint="eastAsia" w:ascii="宋体" w:hAnsi="宋体"/>
                <w:sz w:val="24"/>
                <w:szCs w:val="24"/>
                <w:highlight w:val="none"/>
              </w:rPr>
              <w:t>项目成员实力（10分）</w:t>
            </w:r>
          </w:p>
        </w:tc>
        <w:tc>
          <w:tcPr>
            <w:tcW w:w="3590" w:type="pct"/>
            <w:tcBorders>
              <w:right w:val="single" w:color="auto" w:sz="4" w:space="0"/>
            </w:tcBorders>
            <w:vAlign w:val="center"/>
          </w:tcPr>
          <w:p>
            <w:pPr>
              <w:ind w:firstLine="31" w:firstLineChars="13"/>
              <w:jc w:val="left"/>
              <w:rPr>
                <w:rFonts w:ascii="宋体" w:hAnsi="宋体"/>
                <w:sz w:val="24"/>
                <w:szCs w:val="24"/>
                <w:highlight w:val="none"/>
              </w:rPr>
            </w:pPr>
            <w:r>
              <w:rPr>
                <w:rFonts w:hint="eastAsia" w:ascii="宋体" w:hAnsi="宋体"/>
                <w:sz w:val="24"/>
                <w:szCs w:val="24"/>
                <w:highlight w:val="none"/>
              </w:rPr>
              <w:t>1.</w:t>
            </w:r>
            <w:r>
              <w:rPr>
                <w:rFonts w:hint="eastAsia" w:ascii="宋体" w:hAnsi="宋体"/>
                <w:color w:val="000000"/>
                <w:sz w:val="24"/>
                <w:szCs w:val="24"/>
                <w:highlight w:val="none"/>
                <w:lang w:val="en-US" w:eastAsia="zh-CN"/>
              </w:rPr>
              <w:t>受邀中介机构</w:t>
            </w:r>
            <w:r>
              <w:rPr>
                <w:rFonts w:hint="eastAsia" w:ascii="宋体" w:hAnsi="宋体"/>
                <w:sz w:val="24"/>
                <w:szCs w:val="24"/>
                <w:highlight w:val="none"/>
              </w:rPr>
              <w:t>拟派本项目的项目总监、项目经理均具有8年及以上</w:t>
            </w:r>
            <w:r>
              <w:rPr>
                <w:rFonts w:hint="eastAsia" w:ascii="宋体" w:hAnsi="宋体"/>
                <w:sz w:val="24"/>
                <w:szCs w:val="24"/>
                <w:highlight w:val="none"/>
                <w:lang w:val="en-US" w:eastAsia="zh-CN"/>
              </w:rPr>
              <w:t>品牌类或相关</w:t>
            </w:r>
            <w:r>
              <w:rPr>
                <w:rFonts w:hint="eastAsia" w:ascii="宋体" w:hAnsi="宋体"/>
                <w:sz w:val="24"/>
                <w:szCs w:val="24"/>
                <w:highlight w:val="none"/>
              </w:rPr>
              <w:t>战略咨询经验的得5分，只有1人具备的得2分，其余不得分。</w:t>
            </w:r>
          </w:p>
          <w:p>
            <w:pPr>
              <w:ind w:firstLine="31" w:firstLineChars="13"/>
              <w:jc w:val="left"/>
              <w:rPr>
                <w:rFonts w:ascii="宋体" w:hAnsi="宋体"/>
                <w:sz w:val="24"/>
                <w:szCs w:val="24"/>
                <w:highlight w:val="none"/>
              </w:rPr>
            </w:pPr>
            <w:r>
              <w:rPr>
                <w:rFonts w:hint="eastAsia" w:ascii="宋体" w:hAnsi="宋体"/>
                <w:sz w:val="24"/>
                <w:szCs w:val="24"/>
                <w:highlight w:val="none"/>
              </w:rPr>
              <w:t>2.</w:t>
            </w:r>
            <w:r>
              <w:rPr>
                <w:rFonts w:hint="eastAsia" w:ascii="宋体" w:hAnsi="宋体"/>
                <w:color w:val="000000"/>
                <w:sz w:val="24"/>
                <w:szCs w:val="24"/>
                <w:highlight w:val="none"/>
                <w:lang w:val="en-US" w:eastAsia="zh-CN"/>
              </w:rPr>
              <w:t>受邀中介机构</w:t>
            </w:r>
            <w:r>
              <w:rPr>
                <w:rFonts w:hint="eastAsia" w:ascii="宋体" w:hAnsi="宋体"/>
                <w:sz w:val="24"/>
                <w:szCs w:val="24"/>
                <w:highlight w:val="none"/>
              </w:rPr>
              <w:t>拟派本项目的项目总监、项目经理中至少1人具有国际注册管理咨询师CMC执业资格证书的得5分</w:t>
            </w:r>
            <w:r>
              <w:rPr>
                <w:rFonts w:hint="eastAsia" w:ascii="宋体" w:hAnsi="宋体"/>
                <w:sz w:val="24"/>
                <w:szCs w:val="24"/>
                <w:highlight w:val="none"/>
                <w:lang w:eastAsia="zh-CN"/>
              </w:rPr>
              <w:t>（</w:t>
            </w:r>
            <w:r>
              <w:rPr>
                <w:rFonts w:hint="eastAsia" w:ascii="宋体" w:hAnsi="宋体"/>
                <w:sz w:val="24"/>
                <w:szCs w:val="24"/>
                <w:highlight w:val="none"/>
                <w:lang w:val="en-US" w:eastAsia="zh-CN"/>
              </w:rPr>
              <w:t>其他相关证书酌情给分，最多不超过5分</w:t>
            </w:r>
            <w:r>
              <w:rPr>
                <w:rFonts w:hint="eastAsia" w:ascii="宋体" w:hAnsi="宋体"/>
                <w:sz w:val="24"/>
                <w:szCs w:val="24"/>
                <w:highlight w:val="none"/>
                <w:lang w:eastAsia="zh-CN"/>
              </w:rPr>
              <w:t>）</w:t>
            </w:r>
            <w:r>
              <w:rPr>
                <w:rFonts w:hint="eastAsia" w:ascii="宋体" w:hAnsi="宋体"/>
                <w:sz w:val="24"/>
                <w:szCs w:val="24"/>
                <w:highlight w:val="none"/>
              </w:rPr>
              <w:t>。</w:t>
            </w:r>
          </w:p>
          <w:p>
            <w:pPr>
              <w:ind w:firstLine="31" w:firstLineChars="13"/>
              <w:jc w:val="left"/>
              <w:rPr>
                <w:rFonts w:ascii="宋体" w:hAnsi="宋体"/>
                <w:sz w:val="24"/>
                <w:szCs w:val="24"/>
                <w:highlight w:val="none"/>
              </w:rPr>
            </w:pPr>
            <w:r>
              <w:rPr>
                <w:rFonts w:hint="eastAsia" w:ascii="宋体" w:hAnsi="宋体"/>
                <w:sz w:val="24"/>
                <w:szCs w:val="24"/>
                <w:highlight w:val="none"/>
              </w:rPr>
              <w:t>注：以上须提供身份证、执业资格证书扫描件，相关战略咨询经验证明材料扫描件。</w:t>
            </w:r>
          </w:p>
          <w:p>
            <w:pPr>
              <w:ind w:firstLine="31" w:firstLineChars="13"/>
              <w:jc w:val="left"/>
              <w:rPr>
                <w:rFonts w:ascii="宋体" w:hAnsi="宋体"/>
                <w:sz w:val="24"/>
                <w:szCs w:val="24"/>
                <w:highlight w:val="none"/>
              </w:rPr>
            </w:pPr>
            <w:r>
              <w:rPr>
                <w:rFonts w:hint="eastAsia" w:ascii="宋体" w:hAnsi="宋体"/>
                <w:b/>
                <w:bCs/>
                <w:sz w:val="24"/>
                <w:szCs w:val="24"/>
                <w:highlight w:val="none"/>
              </w:rPr>
              <w:t>（评审依据：</w:t>
            </w:r>
            <w:r>
              <w:rPr>
                <w:rFonts w:hint="eastAsia" w:ascii="宋体" w:hAnsi="宋体"/>
                <w:b/>
                <w:bCs/>
                <w:sz w:val="24"/>
                <w:szCs w:val="24"/>
                <w:highlight w:val="none"/>
                <w:lang w:val="en-US" w:eastAsia="zh-CN"/>
              </w:rPr>
              <w:t>受邀中介机构</w:t>
            </w:r>
            <w:r>
              <w:rPr>
                <w:rFonts w:hint="eastAsia" w:ascii="宋体" w:hAnsi="宋体"/>
                <w:b/>
                <w:bCs/>
                <w:sz w:val="24"/>
                <w:szCs w:val="24"/>
                <w:highlight w:val="none"/>
              </w:rPr>
              <w:t>中提供的项目团队人员名单以及国际注册管理咨询师CMC资格证书</w:t>
            </w:r>
            <w:r>
              <w:rPr>
                <w:rFonts w:hint="eastAsia" w:ascii="宋体" w:hAnsi="宋体"/>
                <w:b/>
                <w:bCs/>
                <w:sz w:val="24"/>
                <w:szCs w:val="24"/>
                <w:highlight w:val="none"/>
                <w:lang w:val="en-US" w:eastAsia="zh-CN"/>
              </w:rPr>
              <w:t>或其他相关证书</w:t>
            </w:r>
            <w:r>
              <w:rPr>
                <w:rFonts w:hint="eastAsia" w:ascii="宋体" w:hAnsi="宋体"/>
                <w:b/>
                <w:sz w:val="24"/>
                <w:szCs w:val="24"/>
                <w:highlight w:val="none"/>
              </w:rPr>
              <w:t>复印件作为佐证</w:t>
            </w:r>
            <w:r>
              <w:rPr>
                <w:rFonts w:hint="eastAsia" w:ascii="宋体" w:hAnsi="宋体"/>
                <w:b/>
                <w:bCs/>
                <w:sz w:val="24"/>
                <w:szCs w:val="24"/>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30" w:type="pct"/>
            <w:vMerge w:val="restart"/>
            <w:vAlign w:val="center"/>
          </w:tcPr>
          <w:p>
            <w:pPr>
              <w:jc w:val="center"/>
              <w:rPr>
                <w:rFonts w:ascii="宋体" w:hAnsi="宋体"/>
                <w:sz w:val="24"/>
                <w:szCs w:val="24"/>
              </w:rPr>
            </w:pPr>
            <w:r>
              <w:rPr>
                <w:rFonts w:hint="eastAsia" w:ascii="宋体" w:hAnsi="宋体"/>
                <w:sz w:val="24"/>
                <w:szCs w:val="24"/>
              </w:rPr>
              <w:t>商务部分（40分）</w:t>
            </w:r>
          </w:p>
        </w:tc>
        <w:tc>
          <w:tcPr>
            <w:tcW w:w="779" w:type="pct"/>
            <w:vAlign w:val="center"/>
          </w:tcPr>
          <w:p>
            <w:pPr>
              <w:rPr>
                <w:rFonts w:ascii="宋体" w:hAnsi="宋体"/>
                <w:sz w:val="24"/>
                <w:szCs w:val="24"/>
                <w:highlight w:val="none"/>
              </w:rPr>
            </w:pPr>
            <w:r>
              <w:rPr>
                <w:rFonts w:hint="eastAsia" w:ascii="宋体" w:hAnsi="宋体" w:cs="宋体"/>
                <w:sz w:val="24"/>
                <w:szCs w:val="24"/>
                <w:highlight w:val="none"/>
              </w:rPr>
              <w:t>服务质量保障（20分）</w:t>
            </w:r>
          </w:p>
        </w:tc>
        <w:tc>
          <w:tcPr>
            <w:tcW w:w="3590" w:type="pct"/>
            <w:tcBorders>
              <w:right w:val="single" w:color="auto" w:sz="4" w:space="0"/>
            </w:tcBorders>
            <w:vAlign w:val="center"/>
          </w:tcPr>
          <w:p>
            <w:pPr>
              <w:rPr>
                <w:rFonts w:ascii="宋体" w:hAnsi="宋体"/>
                <w:bCs/>
                <w:sz w:val="24"/>
                <w:szCs w:val="24"/>
                <w:highlight w:val="none"/>
              </w:rPr>
            </w:pPr>
            <w:r>
              <w:rPr>
                <w:rFonts w:hint="eastAsia" w:ascii="宋体" w:hAnsi="宋体"/>
                <w:color w:val="000000"/>
                <w:sz w:val="24"/>
                <w:szCs w:val="24"/>
                <w:highlight w:val="none"/>
                <w:lang w:val="en-US" w:eastAsia="zh-CN"/>
              </w:rPr>
              <w:t>受邀中介机构</w:t>
            </w:r>
            <w:r>
              <w:rPr>
                <w:rFonts w:hint="eastAsia" w:ascii="宋体" w:hAnsi="宋体"/>
                <w:bCs/>
                <w:sz w:val="24"/>
                <w:szCs w:val="24"/>
                <w:highlight w:val="none"/>
              </w:rPr>
              <w:t>通过具有质量管理体系认证、环境管理体系认证、职业健康安全管理体系认证、企业信用AAA等级证书的，每提供一个得5分，最多得20分。</w:t>
            </w:r>
          </w:p>
          <w:p>
            <w:pPr>
              <w:rPr>
                <w:rFonts w:ascii="宋体" w:hAnsi="宋体"/>
                <w:sz w:val="24"/>
                <w:szCs w:val="24"/>
                <w:highlight w:val="none"/>
              </w:rPr>
            </w:pPr>
            <w:r>
              <w:rPr>
                <w:rFonts w:hint="eastAsia" w:ascii="宋体" w:hAnsi="宋体"/>
                <w:b/>
                <w:sz w:val="24"/>
                <w:szCs w:val="24"/>
                <w:highlight w:val="none"/>
              </w:rPr>
              <w:t>（评审依据：</w:t>
            </w:r>
            <w:r>
              <w:rPr>
                <w:rFonts w:hint="eastAsia" w:ascii="宋体" w:hAnsi="宋体"/>
                <w:b/>
                <w:sz w:val="24"/>
                <w:szCs w:val="24"/>
                <w:highlight w:val="none"/>
                <w:lang w:val="en-US" w:eastAsia="zh-CN"/>
              </w:rPr>
              <w:t>受邀中介机构</w:t>
            </w:r>
            <w:r>
              <w:rPr>
                <w:rFonts w:hint="eastAsia" w:ascii="宋体" w:hAnsi="宋体"/>
                <w:b/>
                <w:sz w:val="24"/>
                <w:szCs w:val="24"/>
                <w:highlight w:val="none"/>
              </w:rPr>
              <w:t>中提供质量管理体系认证、环境管理体系认证、职业健康安全管理体系认证、企业信用AAA等级证书的复印件作为佐证。）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30" w:type="pct"/>
            <w:vMerge w:val="continue"/>
            <w:vAlign w:val="center"/>
          </w:tcPr>
          <w:p>
            <w:pPr>
              <w:jc w:val="center"/>
              <w:rPr>
                <w:rFonts w:ascii="宋体" w:hAnsi="宋体"/>
                <w:sz w:val="24"/>
                <w:szCs w:val="24"/>
              </w:rPr>
            </w:pPr>
          </w:p>
        </w:tc>
        <w:tc>
          <w:tcPr>
            <w:tcW w:w="779" w:type="pct"/>
            <w:vAlign w:val="center"/>
          </w:tcPr>
          <w:p>
            <w:pPr>
              <w:jc w:val="center"/>
              <w:rPr>
                <w:rFonts w:ascii="宋体" w:hAnsi="宋体" w:cs="宋体"/>
                <w:sz w:val="24"/>
                <w:szCs w:val="24"/>
              </w:rPr>
            </w:pPr>
            <w:r>
              <w:rPr>
                <w:rFonts w:hint="eastAsia" w:ascii="宋体" w:hAnsi="宋体" w:cs="宋体"/>
                <w:sz w:val="24"/>
                <w:szCs w:val="24"/>
              </w:rPr>
              <w:t>业绩（20分）</w:t>
            </w:r>
          </w:p>
        </w:tc>
        <w:tc>
          <w:tcPr>
            <w:tcW w:w="3590" w:type="pct"/>
            <w:tcBorders>
              <w:right w:val="single" w:color="auto" w:sz="4" w:space="0"/>
            </w:tcBorders>
            <w:vAlign w:val="center"/>
          </w:tcPr>
          <w:p>
            <w:pPr>
              <w:rPr>
                <w:rFonts w:ascii="宋体" w:hAnsi="宋体"/>
                <w:bCs/>
                <w:sz w:val="24"/>
                <w:szCs w:val="24"/>
              </w:rPr>
            </w:pPr>
            <w:r>
              <w:rPr>
                <w:rFonts w:hint="eastAsia" w:ascii="宋体" w:hAnsi="宋体"/>
                <w:color w:val="000000"/>
                <w:sz w:val="24"/>
                <w:szCs w:val="24"/>
                <w:lang w:val="en-US" w:eastAsia="zh-CN"/>
              </w:rPr>
              <w:t>受邀中介机构</w:t>
            </w:r>
            <w:r>
              <w:rPr>
                <w:rFonts w:hint="eastAsia" w:ascii="宋体" w:hAnsi="宋体"/>
                <w:bCs/>
                <w:sz w:val="24"/>
                <w:szCs w:val="24"/>
              </w:rPr>
              <w:t>自2018年1月1日以来（以合同签订时间为准）至</w:t>
            </w:r>
            <w:r>
              <w:rPr>
                <w:rFonts w:hint="eastAsia" w:ascii="宋体" w:hAnsi="宋体"/>
                <w:bCs/>
                <w:sz w:val="24"/>
                <w:szCs w:val="24"/>
                <w:lang w:val="en-US" w:eastAsia="zh-CN"/>
              </w:rPr>
              <w:t>邀标</w:t>
            </w:r>
            <w:r>
              <w:rPr>
                <w:rFonts w:hint="eastAsia" w:ascii="宋体" w:hAnsi="宋体"/>
                <w:bCs/>
                <w:sz w:val="24"/>
                <w:szCs w:val="24"/>
              </w:rPr>
              <w:t>截止日，具有</w:t>
            </w:r>
            <w:r>
              <w:rPr>
                <w:rFonts w:hint="eastAsia" w:ascii="宋体" w:hAnsi="宋体"/>
                <w:bCs/>
                <w:sz w:val="24"/>
                <w:szCs w:val="24"/>
                <w:lang w:val="en-US" w:eastAsia="zh-CN"/>
              </w:rPr>
              <w:t>品牌类</w:t>
            </w:r>
            <w:r>
              <w:rPr>
                <w:rFonts w:hint="eastAsia" w:ascii="宋体" w:hAnsi="宋体"/>
                <w:bCs/>
                <w:sz w:val="24"/>
                <w:szCs w:val="24"/>
              </w:rPr>
              <w:t>战略规划</w:t>
            </w:r>
            <w:r>
              <w:rPr>
                <w:rFonts w:hint="eastAsia" w:ascii="宋体" w:hAnsi="宋体"/>
                <w:bCs/>
                <w:sz w:val="24"/>
                <w:szCs w:val="24"/>
                <w:lang w:val="en-US" w:eastAsia="zh-CN"/>
              </w:rPr>
              <w:t>或</w:t>
            </w:r>
            <w:r>
              <w:rPr>
                <w:rFonts w:hint="eastAsia" w:ascii="宋体" w:hAnsi="宋体"/>
                <w:bCs/>
                <w:sz w:val="24"/>
                <w:szCs w:val="24"/>
              </w:rPr>
              <w:t>类似项目的业绩案例，每提供一份有效业绩案例得</w:t>
            </w:r>
            <w:r>
              <w:rPr>
                <w:rFonts w:hint="eastAsia" w:ascii="宋体" w:hAnsi="宋体"/>
                <w:bCs/>
                <w:sz w:val="24"/>
                <w:szCs w:val="24"/>
                <w:lang w:val="en-US" w:eastAsia="zh-CN"/>
              </w:rPr>
              <w:t>5</w:t>
            </w:r>
            <w:r>
              <w:rPr>
                <w:rFonts w:hint="eastAsia" w:ascii="宋体" w:hAnsi="宋体"/>
                <w:bCs/>
                <w:sz w:val="24"/>
                <w:szCs w:val="24"/>
              </w:rPr>
              <w:t>分，本项最多得</w:t>
            </w:r>
            <w:r>
              <w:rPr>
                <w:rFonts w:hint="eastAsia" w:ascii="宋体" w:hAnsi="宋体"/>
                <w:bCs/>
                <w:sz w:val="24"/>
                <w:szCs w:val="24"/>
                <w:lang w:val="en-US" w:eastAsia="zh-CN"/>
              </w:rPr>
              <w:t>20</w:t>
            </w:r>
            <w:r>
              <w:rPr>
                <w:rFonts w:hint="eastAsia" w:ascii="宋体" w:hAnsi="宋体"/>
                <w:bCs/>
                <w:sz w:val="24"/>
                <w:szCs w:val="24"/>
              </w:rPr>
              <w:t>分，未提供不得分。</w:t>
            </w:r>
          </w:p>
          <w:p>
            <w:pPr>
              <w:pStyle w:val="3"/>
              <w:jc w:val="left"/>
            </w:pPr>
            <w:r>
              <w:rPr>
                <w:rFonts w:hint="eastAsia" w:ascii="宋体" w:hAnsi="宋体"/>
                <w:b/>
                <w:sz w:val="24"/>
                <w:szCs w:val="24"/>
                <w:u w:val="none"/>
              </w:rPr>
              <w:t>（评审依据：</w:t>
            </w:r>
            <w:r>
              <w:rPr>
                <w:rFonts w:hint="eastAsia" w:ascii="宋体" w:hAnsi="宋体"/>
                <w:b/>
                <w:sz w:val="24"/>
                <w:szCs w:val="24"/>
                <w:u w:val="none"/>
                <w:lang w:val="en-US" w:eastAsia="zh-CN"/>
              </w:rPr>
              <w:t>投标</w:t>
            </w:r>
            <w:r>
              <w:rPr>
                <w:rFonts w:hint="eastAsia" w:ascii="宋体" w:hAnsi="宋体"/>
                <w:b/>
                <w:sz w:val="24"/>
                <w:szCs w:val="24"/>
                <w:u w:val="none"/>
              </w:rPr>
              <w:t>文件中提供的合同复印件作为佐证。）</w:t>
            </w:r>
          </w:p>
        </w:tc>
      </w:tr>
    </w:tbl>
    <w:p>
      <w:pPr>
        <w:spacing w:before="156" w:after="156"/>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十</w:t>
      </w:r>
      <w:r>
        <w:rPr>
          <w:rFonts w:hint="default" w:ascii="黑体" w:hAnsi="黑体" w:eastAsia="黑体" w:cs="黑体"/>
          <w:sz w:val="32"/>
          <w:szCs w:val="32"/>
          <w:lang w:val="en-US" w:eastAsia="zh-CN"/>
        </w:rPr>
        <w:t>、</w:t>
      </w:r>
      <w:r>
        <w:rPr>
          <w:rFonts w:hint="eastAsia" w:ascii="黑体" w:hAnsi="黑体" w:eastAsia="黑体" w:cs="黑体"/>
          <w:sz w:val="32"/>
          <w:szCs w:val="32"/>
          <w:lang w:val="en-US" w:eastAsia="zh-CN"/>
        </w:rPr>
        <w:t>投标</w:t>
      </w:r>
      <w:r>
        <w:rPr>
          <w:rFonts w:hint="default" w:ascii="黑体" w:hAnsi="黑体" w:eastAsia="黑体" w:cs="黑体"/>
          <w:sz w:val="32"/>
          <w:szCs w:val="32"/>
          <w:lang w:val="en-US" w:eastAsia="zh-CN"/>
        </w:rPr>
        <w:t>文件要求</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申请人应按照投标文件要求编制，按照以下顺序装订成册并密封递交。投标文件包括但不限于：</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（一）申请人相关证照。包括《营业执照》等复印件。</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（二）申请人基本情况。包括但不限于申请人简介、综合排名、经营状况，及近年（2018年至今）承办的类似项目简介及证明材料。</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（三）拟派团队介绍。拟派团队负责人、成员简介，包含但不限于学历、职称、执业证，拟派团队负责人及成员近年（2018年至今）承办的类似业绩介绍，以及拟派团队的特殊优势介绍。</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（四）项目实施方案。</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五）承诺书及收费报价。报价应注明对本次服务的具体报价，以及是否接受价格调整及支付方式调整等。报价应包含服务过程中在异地（成都本市及所辖区县以外）参与服务的所有中介机构人员之差旅、食宿等相关费用。</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（六）法定代表人授权书。</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（七）申请人认为应当提供的其他资料。</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投标材料应装订成册，正本商务部分须逐页加盖公章，副本可采用正本的复印件。其中正本1份、副本3份。投标文件以邮寄方式提交的，邮寄地址及收件人同下文报名时间及地点。</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十一、报名时间及地点</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投标文件递交时间：2023年6月20日9时至2023年6月28日17时（法定工作日内北京时间）。申请人须将投标文件自行密封在文件袋内。文件袋正面注明申请人名称、文件名称（</w:t>
      </w:r>
      <w:r>
        <w:rPr>
          <w:rFonts w:hint="default" w:ascii="仿宋_GB2312" w:hAnsi="仿宋_GB2312" w:eastAsia="仿宋_GB2312" w:cs="仿宋_GB2312"/>
          <w:sz w:val="32"/>
          <w:szCs w:val="32"/>
          <w:lang w:val="en-US" w:eastAsia="zh-CN"/>
        </w:rPr>
        <w:t>省国经公司品牌战略规划咨询项目</w:t>
      </w:r>
      <w:r>
        <w:rPr>
          <w:rFonts w:hint="eastAsia" w:ascii="仿宋_GB2312" w:hAnsi="仿宋_GB2312" w:eastAsia="仿宋_GB2312" w:cs="仿宋_GB2312"/>
          <w:sz w:val="32"/>
          <w:szCs w:val="32"/>
          <w:lang w:val="en-US" w:eastAsia="zh-CN"/>
        </w:rPr>
        <w:t>）、申请时间并加盖公章，文件袋封口处加盖公章。</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投标文件递交地点：四川省成都市锦江区三色路199号五冶大厦A区13楼，四川省国有资产经营投资管理有限责任公司。</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联系人：马老师，18328638937。</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p>
    <w:p>
      <w:pPr>
        <w:pStyle w:val="4"/>
        <w:keepNext w:val="0"/>
        <w:keepLines w:val="0"/>
        <w:pageBreakBefore w:val="0"/>
        <w:widowControl/>
        <w:suppressLineNumbers w:val="0"/>
        <w:kinsoku/>
        <w:wordWrap/>
        <w:overflowPunct/>
        <w:topLinePunct w:val="0"/>
        <w:autoSpaceDE/>
        <w:autoSpaceDN/>
        <w:bidi w:val="0"/>
        <w:adjustRightInd/>
        <w:spacing w:before="0" w:beforeAutospacing="0" w:after="0" w:afterAutospacing="0" w:line="360" w:lineRule="auto"/>
        <w:ind w:left="0" w:right="0"/>
        <w:jc w:val="right"/>
        <w:textAlignment w:val="auto"/>
        <w:rPr>
          <w:rFonts w:hint="default" w:ascii="Times New Roman" w:hAnsi="Times New Roman" w:eastAsia="仿宋_GB2312" w:cs="Times New Roman"/>
          <w:color w:val="333333"/>
          <w:sz w:val="32"/>
          <w:szCs w:val="32"/>
        </w:rPr>
      </w:pPr>
      <w:r>
        <w:rPr>
          <w:rFonts w:hint="default" w:ascii="Times New Roman" w:hAnsi="Times New Roman" w:eastAsia="仿宋_GB2312" w:cs="Times New Roman"/>
          <w:color w:val="333333"/>
          <w:sz w:val="32"/>
          <w:szCs w:val="32"/>
        </w:rPr>
        <w:t>四川省国有资产经营投资管理有限责任公司</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Times New Roman" w:hAnsi="Times New Roman" w:eastAsia="仿宋_GB2312" w:cs="Times New Roman"/>
          <w:color w:val="333333"/>
          <w:sz w:val="32"/>
          <w:szCs w:val="32"/>
          <w:lang w:val="en-US" w:eastAsia="zh-CN"/>
        </w:rPr>
        <w:t xml:space="preserve">                      </w:t>
      </w:r>
      <w:r>
        <w:rPr>
          <w:rFonts w:hint="default" w:ascii="Times New Roman" w:hAnsi="Times New Roman" w:eastAsia="仿宋_GB2312" w:cs="Times New Roman"/>
          <w:color w:val="333333"/>
          <w:sz w:val="32"/>
          <w:szCs w:val="32"/>
        </w:rPr>
        <w:t>20</w:t>
      </w:r>
      <w:r>
        <w:rPr>
          <w:rFonts w:hint="default" w:ascii="Times New Roman" w:hAnsi="Times New Roman" w:eastAsia="仿宋_GB2312" w:cs="Times New Roman"/>
          <w:color w:val="333333"/>
          <w:sz w:val="32"/>
          <w:szCs w:val="32"/>
          <w:lang w:val="en-US" w:eastAsia="zh-CN"/>
        </w:rPr>
        <w:t>2</w:t>
      </w:r>
      <w:r>
        <w:rPr>
          <w:rFonts w:hint="eastAsia" w:ascii="Times New Roman" w:hAnsi="Times New Roman" w:eastAsia="仿宋_GB2312" w:cs="Times New Roman"/>
          <w:color w:val="333333"/>
          <w:sz w:val="32"/>
          <w:szCs w:val="32"/>
          <w:lang w:val="en-US" w:eastAsia="zh-CN"/>
        </w:rPr>
        <w:t>3</w:t>
      </w:r>
      <w:r>
        <w:rPr>
          <w:rFonts w:hint="default" w:ascii="Times New Roman" w:hAnsi="Times New Roman" w:eastAsia="仿宋_GB2312" w:cs="Times New Roman"/>
          <w:color w:val="333333"/>
          <w:sz w:val="32"/>
          <w:szCs w:val="32"/>
        </w:rPr>
        <w:t>年</w:t>
      </w:r>
      <w:r>
        <w:rPr>
          <w:rFonts w:hint="eastAsia" w:ascii="Times New Roman" w:hAnsi="Times New Roman" w:eastAsia="仿宋_GB2312" w:cs="Times New Roman"/>
          <w:color w:val="333333"/>
          <w:sz w:val="32"/>
          <w:szCs w:val="32"/>
          <w:lang w:val="en-US" w:eastAsia="zh-CN"/>
        </w:rPr>
        <w:t>6月19日</w:t>
      </w:r>
    </w:p>
    <w:p>
      <w:pPr>
        <w:rPr>
          <w:rFonts w:hint="eastAsia" w:ascii="方正小标宋简体" w:hAnsi="方正小标宋简体" w:eastAsia="方正小标宋简体" w:cs="方正小标宋简体"/>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183ADB"/>
    <w:rsid w:val="04D55FBD"/>
    <w:rsid w:val="1C8C4CF9"/>
    <w:rsid w:val="33DA350A"/>
    <w:rsid w:val="542C29EC"/>
    <w:rsid w:val="61B13F4E"/>
    <w:rsid w:val="6F2E3FFC"/>
    <w:rsid w:val="77E927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rPr>
      <w:rFonts w:ascii="宋体" w:hAnsi="宋体" w:eastAsia="宋体" w:cs="宋体"/>
      <w:sz w:val="33"/>
      <w:szCs w:val="33"/>
    </w:rPr>
  </w:style>
  <w:style w:type="paragraph" w:styleId="3">
    <w:name w:val="header"/>
    <w:basedOn w:val="1"/>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2022-07-01T07:30:00Z</dcterms:created>
  <dc:creator>DELL</dc:creator>
  <cp:lastModifiedBy>DELL</cp:lastModifiedBy>
  <dcterms:modified xsi:type="dcterms:W3CDTF">2023-06-19T06:30:15Z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