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wordWrap/>
        <w:overflowPunct/>
        <w:topLinePunct w:val="0"/>
        <w:bidi w:val="0"/>
        <w:adjustRightInd w:val="0"/>
        <w:snapToGrid w:val="0"/>
        <w:spacing w:line="560" w:lineRule="exact"/>
        <w:ind w:left="0" w:leftChars="0" w:right="0"/>
        <w:rPr>
          <w:rFonts w:hint="eastAsia" w:ascii="Times New Roman" w:hAnsi="Times New Roman" w:eastAsia="仿宋_GB2312" w:cs="Tahoma"/>
          <w:color w:val="auto"/>
          <w:kern w:val="0"/>
          <w:sz w:val="32"/>
          <w:szCs w:val="32"/>
          <w:highlight w:val="none"/>
        </w:rPr>
      </w:pPr>
      <w:r>
        <w:rPr>
          <w:rFonts w:hint="eastAsia" w:ascii="Times New Roman" w:hAnsi="Times New Roman" w:eastAsia="仿宋_GB2312" w:cs="Tahoma"/>
          <w:color w:val="auto"/>
          <w:kern w:val="0"/>
          <w:sz w:val="32"/>
          <w:szCs w:val="32"/>
          <w:highlight w:val="none"/>
        </w:rPr>
        <w:t>附件</w:t>
      </w:r>
      <w:r>
        <w:rPr>
          <w:rFonts w:hint="eastAsia" w:ascii="Times New Roman" w:hAnsi="Times New Roman" w:eastAsia="仿宋_GB2312" w:cs="Tahoma"/>
          <w:color w:val="auto"/>
          <w:kern w:val="0"/>
          <w:sz w:val="32"/>
          <w:szCs w:val="32"/>
          <w:highlight w:val="none"/>
          <w:lang w:val="en-US" w:eastAsia="zh-CN"/>
        </w:rPr>
        <w:t>1：</w:t>
      </w:r>
    </w:p>
    <w:p>
      <w:pPr>
        <w:keepNext w:val="0"/>
        <w:keepLines w:val="0"/>
        <w:pageBreakBefore w:val="0"/>
        <w:widowControl w:val="0"/>
        <w:kinsoku/>
        <w:wordWrap/>
        <w:overflowPunct/>
        <w:topLinePunct w:val="0"/>
        <w:autoSpaceDE/>
        <w:autoSpaceDN/>
        <w:bidi w:val="0"/>
        <w:adjustRightInd/>
        <w:snapToGrid/>
        <w:spacing w:line="560" w:lineRule="exact"/>
        <w:ind w:left="0" w:leftChars="0" w:right="0"/>
        <w:jc w:val="center"/>
        <w:textAlignment w:val="auto"/>
        <w:rPr>
          <w:rFonts w:hint="eastAsia" w:ascii="Times New Roman" w:hAnsi="Times New Roman" w:eastAsia="方正小标宋简体" w:cs="方正小标宋简体"/>
          <w:color w:val="auto"/>
          <w:sz w:val="36"/>
          <w:szCs w:val="36"/>
          <w:highlight w:val="none"/>
          <w:lang w:val="en-US" w:eastAsia="zh-CN"/>
        </w:rPr>
      </w:pPr>
      <w:bookmarkStart w:id="1" w:name="_GoBack"/>
      <w:r>
        <w:rPr>
          <w:rFonts w:hint="eastAsia" w:ascii="Times New Roman" w:hAnsi="Times New Roman" w:eastAsia="方正小标宋简体" w:cs="方正小标宋简体"/>
          <w:color w:val="auto"/>
          <w:sz w:val="36"/>
          <w:szCs w:val="36"/>
          <w:highlight w:val="none"/>
          <w:lang w:val="en-US" w:eastAsia="zh-CN"/>
        </w:rPr>
        <w:t>四川国经兴农投资有限责任公司</w:t>
      </w:r>
    </w:p>
    <w:p>
      <w:pPr>
        <w:keepNext w:val="0"/>
        <w:keepLines w:val="0"/>
        <w:pageBreakBefore w:val="0"/>
        <w:widowControl w:val="0"/>
        <w:kinsoku/>
        <w:wordWrap/>
        <w:overflowPunct/>
        <w:topLinePunct w:val="0"/>
        <w:autoSpaceDE/>
        <w:autoSpaceDN/>
        <w:bidi w:val="0"/>
        <w:adjustRightInd/>
        <w:snapToGrid/>
        <w:spacing w:line="560" w:lineRule="exact"/>
        <w:ind w:left="0" w:leftChars="0" w:right="0"/>
        <w:jc w:val="center"/>
        <w:textAlignment w:val="auto"/>
        <w:rPr>
          <w:rFonts w:hint="eastAsia" w:ascii="Times New Roman" w:hAnsi="Times New Roman" w:eastAsia="方正小标宋简体" w:cs="方正小标宋简体"/>
          <w:color w:val="auto"/>
          <w:sz w:val="36"/>
          <w:szCs w:val="36"/>
          <w:highlight w:val="none"/>
        </w:rPr>
      </w:pPr>
      <w:r>
        <w:rPr>
          <w:rFonts w:hint="eastAsia" w:ascii="Times New Roman" w:hAnsi="Times New Roman" w:eastAsia="方正小标宋简体" w:cs="方正小标宋简体"/>
          <w:color w:val="auto"/>
          <w:sz w:val="36"/>
          <w:szCs w:val="36"/>
          <w:highlight w:val="none"/>
        </w:rPr>
        <w:t>副总经理岗位说明书</w:t>
      </w:r>
    </w:p>
    <w:bookmarkEnd w:id="1"/>
    <w:tbl>
      <w:tblPr>
        <w:tblStyle w:val="5"/>
        <w:tblW w:w="86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3920"/>
        <w:gridCol w:w="1461"/>
        <w:gridCol w:w="24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640" w:type="dxa"/>
            <w:gridSpan w:val="4"/>
            <w:shd w:val="clear" w:color="auto" w:fill="D8D8D8"/>
            <w:noWrap w:val="0"/>
            <w:vAlign w:val="center"/>
          </w:tcPr>
          <w:p>
            <w:pPr>
              <w:spacing w:line="400" w:lineRule="exact"/>
              <w:jc w:val="center"/>
              <w:rPr>
                <w:rFonts w:ascii="Times New Roman" w:hAnsi="Times New Roman" w:eastAsia="仿宋_GB2312" w:cs="Times New Roman"/>
                <w:b/>
                <w:color w:val="auto"/>
                <w:sz w:val="24"/>
                <w:szCs w:val="24"/>
                <w:highlight w:val="none"/>
              </w:rPr>
            </w:pPr>
            <w:r>
              <w:rPr>
                <w:rFonts w:hint="eastAsia" w:ascii="Times New Roman" w:hAnsi="Times New Roman" w:eastAsia="仿宋_GB2312" w:cs="Times New Roman"/>
                <w:b/>
                <w:color w:val="auto"/>
                <w:sz w:val="24"/>
                <w:szCs w:val="24"/>
                <w:highlight w:val="none"/>
              </w:rPr>
              <w:t>一、岗位信息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8" w:type="dxa"/>
            <w:noWrap w:val="0"/>
            <w:vAlign w:val="center"/>
          </w:tcPr>
          <w:p>
            <w:pPr>
              <w:spacing w:line="400" w:lineRule="exact"/>
              <w:jc w:val="center"/>
              <w:rPr>
                <w:rFonts w:ascii="Times New Roman" w:hAnsi="Times New Roman" w:eastAsia="仿宋_GB2312" w:cs="Times New Roman"/>
                <w:b/>
                <w:color w:val="auto"/>
                <w:sz w:val="24"/>
                <w:szCs w:val="24"/>
                <w:highlight w:val="none"/>
              </w:rPr>
            </w:pPr>
            <w:r>
              <w:rPr>
                <w:rFonts w:ascii="Times New Roman" w:hAnsi="Times New Roman" w:eastAsia="仿宋_GB2312" w:cs="Times New Roman"/>
                <w:b/>
                <w:color w:val="auto"/>
                <w:sz w:val="24"/>
                <w:szCs w:val="24"/>
                <w:highlight w:val="none"/>
              </w:rPr>
              <w:t>公司名称</w:t>
            </w:r>
          </w:p>
        </w:tc>
        <w:tc>
          <w:tcPr>
            <w:tcW w:w="3920" w:type="dxa"/>
            <w:noWrap w:val="0"/>
            <w:vAlign w:val="center"/>
          </w:tcPr>
          <w:p>
            <w:pPr>
              <w:spacing w:line="400" w:lineRule="exact"/>
              <w:rPr>
                <w:rFonts w:hint="default" w:ascii="Times New Roman" w:hAnsi="Times New Roman" w:eastAsia="仿宋_GB2312" w:cs="Times New Roman"/>
                <w:color w:val="auto"/>
                <w:kern w:val="2"/>
                <w:sz w:val="21"/>
                <w:szCs w:val="21"/>
                <w:highlight w:val="none"/>
                <w:lang w:val="en-US" w:eastAsia="zh-CN" w:bidi="ar-SA"/>
              </w:rPr>
            </w:pPr>
            <w:r>
              <w:rPr>
                <w:rFonts w:hint="eastAsia" w:ascii="Times New Roman" w:hAnsi="Times New Roman" w:eastAsia="仿宋_GB2312" w:cs="Times New Roman"/>
                <w:color w:val="auto"/>
                <w:sz w:val="21"/>
                <w:szCs w:val="21"/>
                <w:highlight w:val="none"/>
                <w:lang w:val="en-US" w:eastAsia="zh-CN"/>
              </w:rPr>
              <w:t>四川国经兴农投资有限责任公司</w:t>
            </w:r>
          </w:p>
        </w:tc>
        <w:tc>
          <w:tcPr>
            <w:tcW w:w="1461" w:type="dxa"/>
            <w:noWrap w:val="0"/>
            <w:vAlign w:val="center"/>
          </w:tcPr>
          <w:p>
            <w:pPr>
              <w:spacing w:line="400" w:lineRule="exact"/>
              <w:jc w:val="center"/>
              <w:rPr>
                <w:rFonts w:ascii="Times New Roman" w:hAnsi="Times New Roman" w:eastAsia="仿宋_GB2312" w:cs="Times New Roman"/>
                <w:b/>
                <w:color w:val="auto"/>
                <w:kern w:val="2"/>
                <w:sz w:val="24"/>
                <w:szCs w:val="24"/>
                <w:highlight w:val="none"/>
                <w:lang w:val="en-US" w:eastAsia="zh-CN" w:bidi="ar-SA"/>
              </w:rPr>
            </w:pPr>
            <w:r>
              <w:rPr>
                <w:rFonts w:hint="eastAsia" w:ascii="Times New Roman" w:hAnsi="Times New Roman" w:eastAsia="仿宋_GB2312" w:cs="Times New Roman"/>
                <w:b/>
                <w:color w:val="auto"/>
                <w:sz w:val="24"/>
                <w:szCs w:val="24"/>
                <w:highlight w:val="none"/>
              </w:rPr>
              <w:t>二级机构</w:t>
            </w:r>
          </w:p>
        </w:tc>
        <w:tc>
          <w:tcPr>
            <w:tcW w:w="2411" w:type="dxa"/>
            <w:noWrap w:val="0"/>
            <w:vAlign w:val="center"/>
          </w:tcPr>
          <w:p>
            <w:pPr>
              <w:spacing w:line="400" w:lineRule="exact"/>
              <w:rPr>
                <w:rFonts w:hint="default" w:ascii="Times New Roman" w:hAnsi="Times New Roman" w:eastAsia="仿宋_GB2312" w:cs="Times New Roman"/>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8" w:type="dxa"/>
            <w:noWrap w:val="0"/>
            <w:vAlign w:val="center"/>
          </w:tcPr>
          <w:p>
            <w:pPr>
              <w:spacing w:line="400" w:lineRule="exact"/>
              <w:jc w:val="center"/>
              <w:rPr>
                <w:rFonts w:ascii="Times New Roman" w:hAnsi="Times New Roman" w:eastAsia="仿宋_GB2312" w:cs="Times New Roman"/>
                <w:b/>
                <w:color w:val="auto"/>
                <w:sz w:val="24"/>
                <w:szCs w:val="24"/>
                <w:highlight w:val="none"/>
              </w:rPr>
            </w:pPr>
            <w:r>
              <w:rPr>
                <w:rFonts w:hint="eastAsia" w:ascii="Times New Roman" w:hAnsi="Times New Roman" w:eastAsia="仿宋_GB2312" w:cs="Times New Roman"/>
                <w:b/>
                <w:color w:val="auto"/>
                <w:sz w:val="24"/>
                <w:szCs w:val="24"/>
                <w:highlight w:val="none"/>
              </w:rPr>
              <w:t>岗位名称</w:t>
            </w:r>
          </w:p>
        </w:tc>
        <w:tc>
          <w:tcPr>
            <w:tcW w:w="3920" w:type="dxa"/>
            <w:noWrap w:val="0"/>
            <w:vAlign w:val="center"/>
          </w:tcPr>
          <w:p>
            <w:pPr>
              <w:spacing w:line="400" w:lineRule="exact"/>
              <w:rPr>
                <w:rFonts w:hint="eastAsia" w:ascii="Times New Roman" w:hAnsi="Times New Roman" w:eastAsia="仿宋_GB2312" w:cs="Times New Roman"/>
                <w:color w:val="auto"/>
                <w:sz w:val="21"/>
                <w:szCs w:val="21"/>
                <w:highlight w:val="none"/>
                <w:lang w:val="en-US" w:eastAsia="zh-CN"/>
              </w:rPr>
            </w:pPr>
            <w:r>
              <w:rPr>
                <w:rFonts w:hint="eastAsia" w:ascii="Times New Roman" w:hAnsi="Times New Roman" w:eastAsia="仿宋_GB2312" w:cs="Times New Roman"/>
                <w:color w:val="auto"/>
                <w:sz w:val="21"/>
                <w:szCs w:val="21"/>
                <w:highlight w:val="none"/>
                <w:lang w:val="en-US" w:eastAsia="zh-CN"/>
              </w:rPr>
              <w:t>副总经理（分管风控、法务、内控建设）</w:t>
            </w:r>
          </w:p>
        </w:tc>
        <w:tc>
          <w:tcPr>
            <w:tcW w:w="1461" w:type="dxa"/>
            <w:noWrap w:val="0"/>
            <w:vAlign w:val="center"/>
          </w:tcPr>
          <w:p>
            <w:pPr>
              <w:spacing w:line="400" w:lineRule="exact"/>
              <w:jc w:val="center"/>
              <w:rPr>
                <w:rFonts w:ascii="Times New Roman" w:hAnsi="Times New Roman" w:eastAsia="仿宋_GB2312" w:cs="Times New Roman"/>
                <w:b/>
                <w:color w:val="auto"/>
                <w:sz w:val="24"/>
                <w:szCs w:val="24"/>
                <w:highlight w:val="none"/>
              </w:rPr>
            </w:pPr>
            <w:r>
              <w:rPr>
                <w:rFonts w:hint="eastAsia" w:ascii="Times New Roman" w:hAnsi="Times New Roman" w:eastAsia="仿宋_GB2312" w:cs="Times New Roman"/>
                <w:b/>
                <w:color w:val="auto"/>
                <w:sz w:val="24"/>
                <w:szCs w:val="24"/>
                <w:highlight w:val="none"/>
              </w:rPr>
              <w:t>岗位序列</w:t>
            </w:r>
          </w:p>
        </w:tc>
        <w:tc>
          <w:tcPr>
            <w:tcW w:w="2411" w:type="dxa"/>
            <w:noWrap w:val="0"/>
            <w:vAlign w:val="center"/>
          </w:tcPr>
          <w:p>
            <w:pPr>
              <w:spacing w:line="400" w:lineRule="exact"/>
              <w:rPr>
                <w:rFonts w:hint="default" w:ascii="Times New Roman" w:hAnsi="Times New Roman" w:eastAsia="仿宋_GB2312" w:cs="Times New Roman"/>
                <w:color w:val="auto"/>
                <w:sz w:val="24"/>
                <w:szCs w:val="24"/>
                <w:highlight w:val="none"/>
                <w:lang w:val="en-US" w:eastAsia="zh-CN"/>
              </w:rPr>
            </w:pPr>
            <w:r>
              <w:rPr>
                <w:rFonts w:hint="eastAsia" w:ascii="Times New Roman" w:hAnsi="Times New Roman" w:eastAsia="仿宋_GB2312" w:cs="Times New Roman"/>
                <w:color w:val="auto"/>
                <w:sz w:val="21"/>
                <w:szCs w:val="21"/>
                <w:highlight w:val="none"/>
                <w:lang w:val="en-US" w:eastAsia="zh-CN"/>
              </w:rPr>
              <w:t>管理序列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640" w:type="dxa"/>
            <w:gridSpan w:val="4"/>
            <w:shd w:val="clear" w:color="auto" w:fill="D8D8D8"/>
            <w:noWrap w:val="0"/>
            <w:vAlign w:val="center"/>
          </w:tcPr>
          <w:p>
            <w:pPr>
              <w:spacing w:line="400" w:lineRule="exact"/>
              <w:jc w:val="center"/>
              <w:rPr>
                <w:rFonts w:ascii="Times New Roman" w:hAnsi="Times New Roman" w:eastAsia="仿宋_GB2312" w:cs="Times New Roman"/>
                <w:b/>
                <w:color w:val="auto"/>
                <w:sz w:val="24"/>
                <w:szCs w:val="24"/>
                <w:highlight w:val="none"/>
              </w:rPr>
            </w:pPr>
            <w:r>
              <w:rPr>
                <w:rFonts w:hint="eastAsia" w:ascii="Times New Roman" w:hAnsi="Times New Roman" w:eastAsia="仿宋_GB2312" w:cs="Times New Roman"/>
                <w:b/>
                <w:color w:val="auto"/>
                <w:sz w:val="24"/>
                <w:szCs w:val="24"/>
                <w:highlight w:val="none"/>
              </w:rPr>
              <w:t>二、岗位职责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8" w:type="dxa"/>
            <w:noWrap w:val="0"/>
            <w:vAlign w:val="center"/>
          </w:tcPr>
          <w:p>
            <w:pPr>
              <w:spacing w:line="400" w:lineRule="exact"/>
              <w:jc w:val="center"/>
              <w:rPr>
                <w:rFonts w:ascii="Times New Roman" w:hAnsi="Times New Roman" w:eastAsia="仿宋_GB2312" w:cs="Times New Roman"/>
                <w:color w:val="auto"/>
                <w:sz w:val="24"/>
                <w:szCs w:val="24"/>
                <w:highlight w:val="none"/>
              </w:rPr>
            </w:pPr>
            <w:r>
              <w:rPr>
                <w:rFonts w:hint="eastAsia" w:ascii="Times New Roman" w:hAnsi="Times New Roman" w:eastAsia="仿宋_GB2312" w:cs="Times New Roman"/>
                <w:color w:val="auto"/>
                <w:sz w:val="24"/>
                <w:szCs w:val="24"/>
                <w:highlight w:val="none"/>
                <w:lang w:val="en-US" w:eastAsia="zh-CN"/>
              </w:rPr>
              <w:t>岗位职责</w:t>
            </w:r>
          </w:p>
        </w:tc>
        <w:tc>
          <w:tcPr>
            <w:tcW w:w="7792" w:type="dxa"/>
            <w:gridSpan w:val="3"/>
            <w:noWrap w:val="0"/>
            <w:vAlign w:val="center"/>
          </w:tcPr>
          <w:p>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1.协助总经理组织制定、细化公司战略规划；</w:t>
            </w:r>
          </w:p>
          <w:p>
            <w:pPr>
              <w:pStyle w:val="7"/>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2.协助总经理组织实施公司总体战略规划；</w:t>
            </w:r>
          </w:p>
          <w:p>
            <w:pPr>
              <w:pStyle w:val="7"/>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3.协助总经理组织制定、修改、实施公司年度经营计划，跟踪公司经营目标完成情况，及时提出解决方案与意见建议，并对结果负分管责任；</w:t>
            </w:r>
          </w:p>
          <w:p>
            <w:pPr>
              <w:pStyle w:val="7"/>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4.协助总经理完善公司组织架构、风控法务部门职责，对公司风控法务部门进行管理，组织实施董事会决议；</w:t>
            </w:r>
          </w:p>
          <w:p>
            <w:pPr>
              <w:pStyle w:val="7"/>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5.协助总经理建立专业化、市场化、集约化管理体系和流程化、合规化、高效化的运转体系，逐步建立完善全面风险管理、内控、合规体系建设，堵塞风险漏洞；</w:t>
            </w:r>
          </w:p>
          <w:p>
            <w:pPr>
              <w:spacing w:line="360" w:lineRule="auto"/>
              <w:rPr>
                <w:rFonts w:hint="eastAsia" w:ascii="Times New Roman" w:hAnsi="Times New Roman" w:eastAsia="宋体"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6.组织协调公司风险管理工作方案，跟踪公司风险管控工作完成情况,提出分析意见及改进措</w:t>
            </w:r>
            <w:r>
              <w:rPr>
                <w:rFonts w:ascii="Times New Roman" w:hAnsi="Times New Roman" w:eastAsia="宋体" w:cs="宋体"/>
                <w:color w:val="auto"/>
                <w:spacing w:val="-4"/>
                <w:sz w:val="20"/>
                <w:szCs w:val="20"/>
              </w:rPr>
              <w:t>施</w:t>
            </w:r>
            <w:r>
              <w:rPr>
                <w:rFonts w:hint="eastAsia" w:ascii="Times New Roman" w:hAnsi="Times New Roman" w:cs="宋体"/>
                <w:color w:val="auto"/>
                <w:spacing w:val="-4"/>
                <w:sz w:val="20"/>
                <w:szCs w:val="20"/>
                <w:lang w:eastAsia="zh-CN"/>
              </w:rPr>
              <w:t>；</w:t>
            </w:r>
          </w:p>
          <w:p>
            <w:pPr>
              <w:widowControl/>
              <w:adjustRightInd w:val="0"/>
              <w:snapToGrid w:val="0"/>
              <w:spacing w:line="360" w:lineRule="auto"/>
              <w:jc w:val="left"/>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7.负责建立公司风险分析和管理系统及法律合规审查体系,对公司和所属子企业经营、管理、投资活动等进行风险防范,规范公司和所属子企业经营行为；</w:t>
            </w:r>
          </w:p>
          <w:p>
            <w:pPr>
              <w:keepNext w:val="0"/>
              <w:keepLines w:val="0"/>
              <w:pageBreakBefore w:val="0"/>
              <w:numPr>
                <w:ilvl w:val="0"/>
                <w:numId w:val="0"/>
              </w:numPr>
              <w:kinsoku/>
              <w:wordWrap/>
              <w:overflowPunct/>
              <w:topLinePunct w:val="0"/>
              <w:autoSpaceDE/>
              <w:autoSpaceDN/>
              <w:bidi w:val="0"/>
              <w:adjustRightInd/>
              <w:snapToGrid/>
              <w:spacing w:line="380" w:lineRule="exact"/>
              <w:ind w:leftChars="0"/>
              <w:textAlignment w:val="auto"/>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8.发挥专业及资源优势，对接和协调各方资源为公司战略目标和经营目标服务；</w:t>
            </w:r>
          </w:p>
          <w:p>
            <w:pPr>
              <w:pStyle w:val="7"/>
              <w:keepNext w:val="0"/>
              <w:keepLines w:val="0"/>
              <w:pageBreakBefore w:val="0"/>
              <w:numPr>
                <w:ilvl w:val="0"/>
                <w:numId w:val="0"/>
              </w:numPr>
              <w:kinsoku/>
              <w:wordWrap/>
              <w:overflowPunct/>
              <w:topLinePunct w:val="0"/>
              <w:autoSpaceDE/>
              <w:autoSpaceDN/>
              <w:bidi w:val="0"/>
              <w:adjustRightInd/>
              <w:snapToGrid/>
              <w:spacing w:line="380" w:lineRule="exact"/>
              <w:textAlignment w:val="auto"/>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9.组织召开风控、法务专题会议，推进、督促公司各项会议有关业务决议事项的贯彻落实；</w:t>
            </w:r>
          </w:p>
          <w:p>
            <w:pPr>
              <w:pStyle w:val="7"/>
              <w:keepNext w:val="0"/>
              <w:keepLines w:val="0"/>
              <w:pageBreakBefore w:val="0"/>
              <w:numPr>
                <w:ilvl w:val="0"/>
                <w:numId w:val="0"/>
              </w:numPr>
              <w:kinsoku/>
              <w:wordWrap/>
              <w:overflowPunct/>
              <w:topLinePunct w:val="0"/>
              <w:autoSpaceDE/>
              <w:autoSpaceDN/>
              <w:bidi w:val="0"/>
              <w:adjustRightInd/>
              <w:snapToGrid/>
              <w:spacing w:line="380" w:lineRule="exact"/>
              <w:textAlignment w:val="auto"/>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10.代表公司开展社会公共关系活动，保持与相关机构的良好合作关系，树立良好的企业形象；</w:t>
            </w:r>
          </w:p>
          <w:p>
            <w:pPr>
              <w:pStyle w:val="7"/>
              <w:keepNext w:val="0"/>
              <w:keepLines w:val="0"/>
              <w:pageBreakBefore w:val="0"/>
              <w:numPr>
                <w:ilvl w:val="0"/>
                <w:numId w:val="0"/>
              </w:numPr>
              <w:kinsoku/>
              <w:wordWrap/>
              <w:overflowPunct/>
              <w:topLinePunct w:val="0"/>
              <w:autoSpaceDE/>
              <w:autoSpaceDN/>
              <w:bidi w:val="0"/>
              <w:adjustRightInd/>
              <w:snapToGrid/>
              <w:spacing w:line="380" w:lineRule="exact"/>
              <w:textAlignment w:val="auto"/>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11.签署权限范围内的法律文书、公告、重要合同及其他重要文件；</w:t>
            </w:r>
          </w:p>
          <w:p>
            <w:pPr>
              <w:pStyle w:val="7"/>
              <w:keepNext w:val="0"/>
              <w:keepLines w:val="0"/>
              <w:pageBreakBefore w:val="0"/>
              <w:numPr>
                <w:ilvl w:val="0"/>
                <w:numId w:val="0"/>
              </w:numPr>
              <w:kinsoku/>
              <w:wordWrap/>
              <w:overflowPunct/>
              <w:topLinePunct w:val="0"/>
              <w:autoSpaceDE/>
              <w:autoSpaceDN/>
              <w:bidi w:val="0"/>
              <w:adjustRightInd/>
              <w:snapToGrid/>
              <w:spacing w:line="380" w:lineRule="exact"/>
              <w:textAlignment w:val="auto"/>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12.负责处理权限范围内的公司重大突发事件，并及时向总经理报告；</w:t>
            </w:r>
          </w:p>
          <w:p>
            <w:pPr>
              <w:pStyle w:val="7"/>
              <w:keepNext w:val="0"/>
              <w:keepLines w:val="0"/>
              <w:pageBreakBefore w:val="0"/>
              <w:numPr>
                <w:ilvl w:val="0"/>
                <w:numId w:val="0"/>
              </w:numPr>
              <w:kinsoku/>
              <w:wordWrap/>
              <w:overflowPunct/>
              <w:topLinePunct w:val="0"/>
              <w:autoSpaceDE/>
              <w:autoSpaceDN/>
              <w:bidi w:val="0"/>
              <w:adjustRightInd/>
              <w:snapToGrid/>
              <w:spacing w:line="380" w:lineRule="exact"/>
              <w:textAlignment w:val="auto"/>
              <w:rPr>
                <w:rFonts w:hint="eastAsia" w:ascii="Times New Roman" w:hAnsi="Times New Roman" w:eastAsia="仿宋_GB2312" w:cs="仿宋_GB2312"/>
                <w:color w:val="auto"/>
                <w:kern w:val="2"/>
                <w:sz w:val="24"/>
                <w:highlight w:val="none"/>
              </w:rPr>
            </w:pPr>
            <w:r>
              <w:rPr>
                <w:rFonts w:hint="eastAsia" w:ascii="Times New Roman" w:hAnsi="Times New Roman" w:eastAsia="仿宋_GB2312" w:cs="仿宋_GB2312"/>
                <w:color w:val="auto"/>
                <w:kern w:val="0"/>
                <w:sz w:val="21"/>
                <w:szCs w:val="21"/>
                <w:highlight w:val="none"/>
                <w:lang w:val="en-US" w:eastAsia="zh-CN" w:bidi="ar-SA"/>
              </w:rPr>
              <w:t>13.行使总经理授权的其他职权。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640" w:type="dxa"/>
            <w:gridSpan w:val="4"/>
            <w:shd w:val="clear" w:color="auto" w:fill="D8D8D8"/>
            <w:noWrap w:val="0"/>
            <w:vAlign w:val="center"/>
          </w:tcPr>
          <w:p>
            <w:pPr>
              <w:spacing w:line="400" w:lineRule="exact"/>
              <w:jc w:val="center"/>
              <w:rPr>
                <w:rFonts w:ascii="Times New Roman" w:hAnsi="Times New Roman" w:eastAsia="仿宋_GB2312" w:cs="Times New Roman"/>
                <w:b/>
                <w:color w:val="auto"/>
                <w:sz w:val="24"/>
                <w:szCs w:val="24"/>
                <w:highlight w:val="none"/>
              </w:rPr>
            </w:pPr>
            <w:r>
              <w:rPr>
                <w:rFonts w:hint="eastAsia" w:ascii="Times New Roman" w:hAnsi="Times New Roman" w:eastAsia="仿宋_GB2312" w:cs="Times New Roman"/>
                <w:b/>
                <w:color w:val="auto"/>
                <w:sz w:val="24"/>
                <w:szCs w:val="24"/>
                <w:highlight w:val="none"/>
                <w:lang w:val="en-US" w:eastAsia="zh-CN"/>
              </w:rPr>
              <w:t>三</w:t>
            </w:r>
            <w:r>
              <w:rPr>
                <w:rFonts w:hint="eastAsia" w:ascii="Times New Roman" w:hAnsi="Times New Roman" w:eastAsia="仿宋_GB2312" w:cs="Times New Roman"/>
                <w:b/>
                <w:color w:val="auto"/>
                <w:sz w:val="24"/>
                <w:szCs w:val="24"/>
                <w:highlight w:val="none"/>
              </w:rPr>
              <w:t>、任职资格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8" w:type="dxa"/>
            <w:noWrap w:val="0"/>
            <w:vAlign w:val="center"/>
          </w:tcPr>
          <w:p>
            <w:pPr>
              <w:spacing w:line="400" w:lineRule="exact"/>
              <w:jc w:val="center"/>
              <w:rPr>
                <w:rFonts w:hint="default" w:ascii="Times New Roman" w:hAnsi="Times New Roman" w:eastAsia="仿宋_GB2312" w:cs="Times New Roman"/>
                <w:b/>
                <w:color w:val="auto"/>
                <w:sz w:val="24"/>
                <w:szCs w:val="24"/>
                <w:highlight w:val="none"/>
                <w:lang w:val="en-US"/>
              </w:rPr>
            </w:pPr>
            <w:r>
              <w:rPr>
                <w:rFonts w:hint="eastAsia" w:ascii="Times New Roman" w:hAnsi="Times New Roman" w:eastAsia="仿宋_GB2312" w:cs="Times New Roman"/>
                <w:color w:val="auto"/>
                <w:sz w:val="24"/>
                <w:szCs w:val="24"/>
                <w:highlight w:val="none"/>
                <w:lang w:val="en-US" w:eastAsia="zh-CN"/>
              </w:rPr>
              <w:t>任职资格</w:t>
            </w:r>
          </w:p>
        </w:tc>
        <w:tc>
          <w:tcPr>
            <w:tcW w:w="7792" w:type="dxa"/>
            <w:gridSpan w:val="3"/>
            <w:noWrap w:val="0"/>
            <w:vAlign w:val="center"/>
          </w:tcPr>
          <w:p>
            <w:pPr>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1.具有全日制大学本科及以上文化程度。</w:t>
            </w:r>
          </w:p>
          <w:p>
            <w:pPr>
              <w:pStyle w:val="8"/>
              <w:widowControl w:val="0"/>
              <w:numPr>
                <w:ilvl w:val="0"/>
                <w:numId w:val="0"/>
              </w:numPr>
              <w:spacing w:line="400" w:lineRule="exact"/>
              <w:jc w:val="both"/>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2.具有10年以上金融、投资、法律、战略管理、企业管理、财务管理等相关工作经验。其中3年以上企业中层及以上管理工作经验优先。</w:t>
            </w:r>
          </w:p>
          <w:p>
            <w:pPr>
              <w:pStyle w:val="8"/>
              <w:widowControl w:val="0"/>
              <w:numPr>
                <w:ilvl w:val="0"/>
                <w:numId w:val="0"/>
              </w:numPr>
              <w:spacing w:line="400" w:lineRule="exact"/>
              <w:jc w:val="both"/>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3.通过国家司法考试、注册会计师、中/高级会计师、中/高级经济师以上资格之一。</w:t>
            </w:r>
          </w:p>
          <w:p>
            <w:pPr>
              <w:pStyle w:val="8"/>
              <w:widowControl w:val="0"/>
              <w:numPr>
                <w:ilvl w:val="0"/>
                <w:numId w:val="0"/>
              </w:numPr>
              <w:spacing w:line="400" w:lineRule="exact"/>
              <w:jc w:val="both"/>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4.年龄在45周岁（含）以下，中共党员优先。</w:t>
            </w:r>
          </w:p>
          <w:p>
            <w:pPr>
              <w:pStyle w:val="8"/>
              <w:widowControl w:val="0"/>
              <w:numPr>
                <w:ilvl w:val="0"/>
                <w:numId w:val="0"/>
              </w:numPr>
              <w:spacing w:line="400" w:lineRule="exact"/>
              <w:jc w:val="both"/>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5.具有银行、证券、基金等金融或投资机构风险、合规管理经历。</w:t>
            </w:r>
          </w:p>
          <w:p>
            <w:pPr>
              <w:pStyle w:val="8"/>
              <w:widowControl w:val="0"/>
              <w:numPr>
                <w:ilvl w:val="0"/>
                <w:numId w:val="0"/>
              </w:numPr>
              <w:spacing w:line="400" w:lineRule="exact"/>
              <w:jc w:val="both"/>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6.掌握现代企业管理知识，熟悉公司法、国家经济政策，具有丰富的风控法务经验及管理经验，分析决策能力强，熟悉产业投资、项目投资风险防范。</w:t>
            </w:r>
          </w:p>
          <w:p>
            <w:pPr>
              <w:pStyle w:val="8"/>
              <w:widowControl w:val="0"/>
              <w:numPr>
                <w:ilvl w:val="0"/>
                <w:numId w:val="0"/>
              </w:numPr>
              <w:spacing w:line="400" w:lineRule="exact"/>
              <w:jc w:val="both"/>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7.具有较强的组织协调能力、改革创新能力和市场应变能力，有丰富行业资源和项目引进、整合能力。</w:t>
            </w:r>
          </w:p>
          <w:p>
            <w:pPr>
              <w:pStyle w:val="8"/>
              <w:widowControl w:val="0"/>
              <w:numPr>
                <w:ilvl w:val="0"/>
                <w:numId w:val="0"/>
              </w:numPr>
              <w:spacing w:line="400" w:lineRule="exact"/>
              <w:jc w:val="both"/>
              <w:rPr>
                <w:rFonts w:hint="eastAsia" w:ascii="Times New Roman" w:hAnsi="Times New Roman" w:eastAsia="仿宋_GB2312" w:cs="仿宋_GB2312"/>
                <w:color w:val="auto"/>
                <w:kern w:val="0"/>
                <w:sz w:val="21"/>
                <w:szCs w:val="21"/>
                <w:highlight w:val="none"/>
                <w:lang w:val="en-US" w:eastAsia="zh-CN" w:bidi="ar-SA"/>
              </w:rPr>
            </w:pPr>
            <w:r>
              <w:rPr>
                <w:rFonts w:hint="eastAsia" w:ascii="Times New Roman" w:hAnsi="Times New Roman" w:eastAsia="仿宋_GB2312" w:cs="仿宋_GB2312"/>
                <w:color w:val="auto"/>
                <w:kern w:val="0"/>
                <w:sz w:val="21"/>
                <w:szCs w:val="21"/>
                <w:highlight w:val="none"/>
                <w:lang w:val="en-US" w:eastAsia="zh-CN" w:bidi="ar-SA"/>
              </w:rPr>
              <w:t>8.具有优秀的领导能力、谈判沟通能力、团队管理能力，爱岗敬业、责任心强、抗压能力强。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8" w:type="dxa"/>
            <w:noWrap w:val="0"/>
            <w:vAlign w:val="center"/>
          </w:tcPr>
          <w:p>
            <w:pPr>
              <w:spacing w:line="400" w:lineRule="exact"/>
              <w:rPr>
                <w:rFonts w:hint="eastAsia" w:ascii="Times New Roman" w:hAnsi="Times New Roman" w:eastAsia="仿宋_GB2312" w:cs="Times New Roman"/>
                <w:color w:val="auto"/>
                <w:sz w:val="24"/>
                <w:szCs w:val="24"/>
                <w:highlight w:val="none"/>
                <w:lang w:val="en-US" w:eastAsia="zh-CN"/>
              </w:rPr>
            </w:pPr>
            <w:r>
              <w:rPr>
                <w:rFonts w:hint="eastAsia" w:ascii="Times New Roman" w:hAnsi="Times New Roman" w:eastAsia="仿宋_GB2312" w:cs="仿宋_GB2312"/>
                <w:color w:val="auto"/>
                <w:sz w:val="24"/>
                <w:highlight w:val="none"/>
              </w:rPr>
              <w:t>用人理</w:t>
            </w:r>
            <w:r>
              <w:rPr>
                <w:rFonts w:hint="eastAsia" w:ascii="Times New Roman" w:hAnsi="Times New Roman" w:eastAsia="仿宋_GB2312" w:cs="仿宋_GB2312"/>
                <w:color w:val="auto"/>
                <w:sz w:val="24"/>
                <w:highlight w:val="none"/>
                <w:lang w:val="en-US" w:eastAsia="zh-CN"/>
              </w:rPr>
              <w:t xml:space="preserve"> </w:t>
            </w:r>
            <w:r>
              <w:rPr>
                <w:rFonts w:hint="eastAsia" w:ascii="Times New Roman" w:hAnsi="Times New Roman" w:eastAsia="仿宋_GB2312" w:cs="仿宋_GB2312"/>
                <w:color w:val="auto"/>
                <w:sz w:val="24"/>
                <w:highlight w:val="none"/>
              </w:rPr>
              <w:t>由</w:t>
            </w:r>
          </w:p>
        </w:tc>
        <w:tc>
          <w:tcPr>
            <w:tcW w:w="7792" w:type="dxa"/>
            <w:gridSpan w:val="3"/>
            <w:noWrap w:val="0"/>
            <w:vAlign w:val="center"/>
          </w:tcPr>
          <w:p>
            <w:pPr>
              <w:spacing w:line="400" w:lineRule="exact"/>
              <w:rPr>
                <w:rFonts w:ascii="Times New Roman" w:hAnsi="Times New Roman" w:eastAsia="仿宋_GB2312" w:cs="Times New Roman"/>
                <w:color w:val="auto"/>
                <w:kern w:val="2"/>
                <w:sz w:val="21"/>
                <w:szCs w:val="21"/>
                <w:highlight w:val="none"/>
                <w:lang w:val="en-US" w:eastAsia="zh-CN" w:bidi="ar-SA"/>
              </w:rPr>
            </w:pPr>
            <w:r>
              <w:rPr>
                <w:rFonts w:hint="eastAsia" w:ascii="Times New Roman" w:hAnsi="Times New Roman" w:eastAsia="仿宋_GB2312" w:cs="仿宋_GB2312"/>
                <w:color w:val="auto"/>
                <w:sz w:val="21"/>
                <w:szCs w:val="21"/>
                <w:highlight w:val="none"/>
              </w:rPr>
              <w:t>根据国经</w:t>
            </w:r>
            <w:r>
              <w:rPr>
                <w:rFonts w:hint="eastAsia" w:ascii="Times New Roman" w:hAnsi="Times New Roman" w:eastAsia="仿宋_GB2312" w:cs="仿宋_GB2312"/>
                <w:color w:val="auto"/>
                <w:sz w:val="21"/>
                <w:szCs w:val="21"/>
                <w:highlight w:val="none"/>
                <w:lang w:val="en-US" w:eastAsia="zh-CN"/>
              </w:rPr>
              <w:t>兴农</w:t>
            </w:r>
            <w:r>
              <w:rPr>
                <w:rFonts w:hint="eastAsia" w:ascii="Times New Roman" w:hAnsi="Times New Roman" w:eastAsia="仿宋_GB2312" w:cs="仿宋_GB2312"/>
                <w:color w:val="auto"/>
                <w:sz w:val="21"/>
                <w:szCs w:val="21"/>
                <w:highlight w:val="none"/>
              </w:rPr>
              <w:t>公司组织架构、主要岗位职责及人员编制方案开展招聘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8" w:type="dxa"/>
            <w:noWrap w:val="0"/>
            <w:vAlign w:val="center"/>
          </w:tcPr>
          <w:p>
            <w:pPr>
              <w:spacing w:line="400" w:lineRule="exact"/>
              <w:rPr>
                <w:rFonts w:hint="eastAsia" w:ascii="Times New Roman" w:hAnsi="Times New Roman" w:eastAsia="仿宋_GB2312" w:cs="Times New Roman"/>
                <w:color w:val="auto"/>
                <w:sz w:val="24"/>
                <w:szCs w:val="24"/>
                <w:highlight w:val="none"/>
                <w:lang w:val="en-US" w:eastAsia="zh-CN"/>
              </w:rPr>
            </w:pPr>
            <w:r>
              <w:rPr>
                <w:rFonts w:hint="eastAsia" w:ascii="Times New Roman" w:hAnsi="Times New Roman" w:eastAsia="仿宋_GB2312" w:cs="仿宋_GB2312"/>
                <w:color w:val="auto"/>
                <w:sz w:val="24"/>
                <w:highlight w:val="none"/>
              </w:rPr>
              <w:t>招聘渠</w:t>
            </w:r>
            <w:r>
              <w:rPr>
                <w:rFonts w:hint="eastAsia" w:ascii="Times New Roman" w:hAnsi="Times New Roman" w:eastAsia="仿宋_GB2312" w:cs="仿宋_GB2312"/>
                <w:color w:val="auto"/>
                <w:sz w:val="24"/>
                <w:highlight w:val="none"/>
                <w:lang w:val="en-US" w:eastAsia="zh-CN"/>
              </w:rPr>
              <w:t xml:space="preserve"> </w:t>
            </w:r>
            <w:r>
              <w:rPr>
                <w:rFonts w:hint="eastAsia" w:ascii="Times New Roman" w:hAnsi="Times New Roman" w:eastAsia="仿宋_GB2312" w:cs="仿宋_GB2312"/>
                <w:color w:val="auto"/>
                <w:sz w:val="24"/>
                <w:highlight w:val="none"/>
              </w:rPr>
              <w:t>道</w:t>
            </w:r>
          </w:p>
        </w:tc>
        <w:tc>
          <w:tcPr>
            <w:tcW w:w="7792" w:type="dxa"/>
            <w:gridSpan w:val="3"/>
            <w:noWrap w:val="0"/>
            <w:vAlign w:val="center"/>
          </w:tcPr>
          <w:p>
            <w:pPr>
              <w:spacing w:line="400" w:lineRule="exact"/>
              <w:rPr>
                <w:rFonts w:hint="default" w:ascii="Times New Roman" w:hAnsi="Times New Roman" w:eastAsia="仿宋_GB2312" w:cs="Times New Roman"/>
                <w:color w:val="auto"/>
                <w:kern w:val="2"/>
                <w:sz w:val="21"/>
                <w:szCs w:val="21"/>
                <w:highlight w:val="none"/>
                <w:lang w:val="en-US" w:eastAsia="zh-CN" w:bidi="ar-SA"/>
              </w:rPr>
            </w:pPr>
            <w:r>
              <w:rPr>
                <w:rFonts w:hint="eastAsia" w:ascii="Times New Roman" w:hAnsi="Times New Roman" w:eastAsia="仿宋_GB2312" w:cs="仿宋_GB2312"/>
                <w:color w:val="auto"/>
                <w:sz w:val="21"/>
                <w:szCs w:val="21"/>
                <w:highlight w:val="none"/>
                <w:lang w:val="en-US" w:eastAsia="zh-CN"/>
              </w:rPr>
              <w:t>市场化选聘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8" w:type="dxa"/>
            <w:noWrap w:val="0"/>
            <w:vAlign w:val="center"/>
          </w:tcPr>
          <w:p>
            <w:pPr>
              <w:spacing w:line="400" w:lineRule="exact"/>
              <w:rPr>
                <w:rFonts w:hint="eastAsia" w:ascii="Times New Roman" w:hAnsi="Times New Roman" w:eastAsia="仿宋_GB2312" w:cs="Times New Roman"/>
                <w:color w:val="auto"/>
                <w:sz w:val="24"/>
                <w:szCs w:val="24"/>
                <w:highlight w:val="none"/>
                <w:lang w:val="en-US" w:eastAsia="zh-CN"/>
              </w:rPr>
            </w:pPr>
            <w:r>
              <w:rPr>
                <w:rFonts w:hint="eastAsia" w:ascii="Times New Roman" w:hAnsi="Times New Roman" w:eastAsia="仿宋_GB2312" w:cs="仿宋_GB2312"/>
                <w:color w:val="auto"/>
                <w:sz w:val="24"/>
                <w:highlight w:val="none"/>
              </w:rPr>
              <w:t>薪酬范 围</w:t>
            </w:r>
          </w:p>
        </w:tc>
        <w:tc>
          <w:tcPr>
            <w:tcW w:w="7792" w:type="dxa"/>
            <w:gridSpan w:val="3"/>
            <w:noWrap w:val="0"/>
            <w:vAlign w:val="center"/>
          </w:tcPr>
          <w:p>
            <w:pPr>
              <w:spacing w:line="400" w:lineRule="exact"/>
              <w:rPr>
                <w:rFonts w:hint="default" w:ascii="Times New Roman" w:hAnsi="Times New Roman" w:eastAsia="仿宋_GB2312" w:cs="Times New Roman"/>
                <w:color w:val="auto"/>
                <w:kern w:val="2"/>
                <w:sz w:val="21"/>
                <w:szCs w:val="21"/>
                <w:highlight w:val="none"/>
                <w:lang w:val="en-US" w:eastAsia="zh-CN" w:bidi="ar-SA"/>
              </w:rPr>
            </w:pPr>
            <w:r>
              <w:rPr>
                <w:rFonts w:hint="eastAsia" w:ascii="Times New Roman" w:hAnsi="Times New Roman" w:eastAsia="仿宋_GB2312" w:cs="Times New Roman"/>
                <w:color w:val="auto"/>
                <w:szCs w:val="32"/>
                <w:lang w:val="en-US" w:eastAsia="zh-CN"/>
              </w:rPr>
              <w:t>按</w:t>
            </w:r>
            <w:r>
              <w:rPr>
                <w:rFonts w:hint="default" w:ascii="Times New Roman" w:hAnsi="Times New Roman" w:eastAsia="仿宋_GB2312" w:cs="Times New Roman"/>
                <w:color w:val="auto"/>
                <w:szCs w:val="32"/>
              </w:rPr>
              <w:t>《</w:t>
            </w:r>
            <w:r>
              <w:rPr>
                <w:rFonts w:hint="default" w:ascii="Times New Roman" w:hAnsi="Times New Roman" w:eastAsia="仿宋_GB2312" w:cs="Times New Roman"/>
                <w:color w:val="auto"/>
                <w:szCs w:val="32"/>
                <w:lang w:val="en-US" w:eastAsia="zh-CN"/>
              </w:rPr>
              <w:t>四川省国有资产经营投资管理有限责任公司二级子企业经理层薪酬管理办法（试行）</w:t>
            </w:r>
            <w:r>
              <w:rPr>
                <w:rFonts w:hint="default" w:ascii="Times New Roman" w:hAnsi="Times New Roman" w:eastAsia="仿宋_GB2312" w:cs="Times New Roman"/>
                <w:color w:val="auto"/>
                <w:szCs w:val="32"/>
              </w:rPr>
              <w:t>》</w:t>
            </w:r>
            <w:r>
              <w:rPr>
                <w:rFonts w:hint="eastAsia" w:ascii="Times New Roman" w:hAnsi="Times New Roman" w:eastAsia="仿宋_GB2312" w:cs="Times New Roman"/>
                <w:color w:val="auto"/>
                <w:szCs w:val="32"/>
                <w:lang w:val="en-US" w:eastAsia="zh-CN"/>
              </w:rPr>
              <w:t>执行，50-60W/年。</w:t>
            </w:r>
          </w:p>
        </w:tc>
      </w:tr>
    </w:tbl>
    <w:p>
      <w:pPr>
        <w:keepNext w:val="0"/>
        <w:keepLines w:val="0"/>
        <w:pageBreakBefore w:val="0"/>
        <w:wordWrap/>
        <w:overflowPunct/>
        <w:topLinePunct w:val="0"/>
        <w:bidi w:val="0"/>
        <w:spacing w:line="560" w:lineRule="exact"/>
        <w:ind w:left="0" w:leftChars="0" w:right="0"/>
        <w:rPr>
          <w:rFonts w:ascii="Times New Roman" w:hAnsi="Times New Roman"/>
          <w:color w:val="auto"/>
          <w:highlight w:val="none"/>
        </w:rPr>
      </w:pPr>
    </w:p>
    <w:p>
      <w:pPr>
        <w:keepNext w:val="0"/>
        <w:keepLines w:val="0"/>
        <w:pageBreakBefore w:val="0"/>
        <w:widowControl w:val="0"/>
        <w:wordWrap/>
        <w:overflowPunct/>
        <w:topLinePunct w:val="0"/>
        <w:bidi w:val="0"/>
        <w:spacing w:line="560" w:lineRule="exact"/>
        <w:ind w:left="0" w:leftChars="0" w:right="0"/>
        <w:jc w:val="both"/>
        <w:rPr>
          <w:rFonts w:hint="eastAsia" w:ascii="Times New Roman" w:hAnsi="Times New Roman" w:eastAsia="仿宋_GB2312" w:cs="Tahoma"/>
          <w:color w:val="auto"/>
          <w:kern w:val="0"/>
          <w:sz w:val="32"/>
          <w:szCs w:val="32"/>
          <w:highlight w:val="none"/>
          <w:lang w:val="en-US" w:eastAsia="zh-CN" w:bidi="ar-SA"/>
        </w:rPr>
      </w:pPr>
      <w:bookmarkStart w:id="0" w:name="_Hlk70625477"/>
    </w:p>
    <w:p>
      <w:pPr>
        <w:keepNext w:val="0"/>
        <w:keepLines w:val="0"/>
        <w:pageBreakBefore w:val="0"/>
        <w:widowControl w:val="0"/>
        <w:wordWrap/>
        <w:overflowPunct/>
        <w:topLinePunct w:val="0"/>
        <w:bidi w:val="0"/>
        <w:spacing w:line="560" w:lineRule="exact"/>
        <w:ind w:left="0" w:leftChars="0" w:right="0"/>
        <w:jc w:val="both"/>
        <w:rPr>
          <w:rFonts w:hint="eastAsia" w:ascii="Times New Roman" w:hAnsi="Times New Roman" w:eastAsia="仿宋_GB2312" w:cs="Tahoma"/>
          <w:color w:val="auto"/>
          <w:kern w:val="0"/>
          <w:sz w:val="32"/>
          <w:szCs w:val="32"/>
          <w:highlight w:val="none"/>
          <w:lang w:val="en-US" w:eastAsia="zh-CN" w:bidi="ar-SA"/>
        </w:rPr>
      </w:pPr>
    </w:p>
    <w:p>
      <w:pPr>
        <w:keepNext w:val="0"/>
        <w:keepLines w:val="0"/>
        <w:pageBreakBefore w:val="0"/>
        <w:widowControl w:val="0"/>
        <w:wordWrap/>
        <w:overflowPunct/>
        <w:topLinePunct w:val="0"/>
        <w:bidi w:val="0"/>
        <w:spacing w:line="560" w:lineRule="exact"/>
        <w:ind w:left="0" w:leftChars="0" w:right="0"/>
        <w:jc w:val="both"/>
        <w:rPr>
          <w:rFonts w:hint="eastAsia" w:ascii="Times New Roman" w:hAnsi="Times New Roman" w:eastAsia="仿宋_GB2312" w:cs="Tahoma"/>
          <w:color w:val="auto"/>
          <w:kern w:val="0"/>
          <w:sz w:val="32"/>
          <w:szCs w:val="32"/>
          <w:highlight w:val="none"/>
          <w:lang w:val="en-US" w:eastAsia="zh-CN" w:bidi="ar-SA"/>
        </w:rPr>
      </w:pPr>
    </w:p>
    <w:p>
      <w:pPr>
        <w:keepNext w:val="0"/>
        <w:keepLines w:val="0"/>
        <w:pageBreakBefore w:val="0"/>
        <w:widowControl w:val="0"/>
        <w:wordWrap/>
        <w:overflowPunct/>
        <w:topLinePunct w:val="0"/>
        <w:bidi w:val="0"/>
        <w:spacing w:line="560" w:lineRule="exact"/>
        <w:ind w:left="0" w:leftChars="0" w:right="0"/>
        <w:jc w:val="both"/>
        <w:rPr>
          <w:rFonts w:hint="eastAsia" w:ascii="Times New Roman" w:hAnsi="Times New Roman" w:eastAsia="仿宋_GB2312" w:cs="Tahoma"/>
          <w:color w:val="auto"/>
          <w:kern w:val="0"/>
          <w:sz w:val="32"/>
          <w:szCs w:val="32"/>
          <w:highlight w:val="none"/>
          <w:lang w:val="en-US" w:eastAsia="zh-CN" w:bidi="ar-SA"/>
        </w:rPr>
      </w:pPr>
    </w:p>
    <w:p>
      <w:pPr>
        <w:keepNext w:val="0"/>
        <w:keepLines w:val="0"/>
        <w:pageBreakBefore w:val="0"/>
        <w:widowControl w:val="0"/>
        <w:wordWrap/>
        <w:overflowPunct/>
        <w:topLinePunct w:val="0"/>
        <w:bidi w:val="0"/>
        <w:spacing w:line="560" w:lineRule="exact"/>
        <w:ind w:left="0" w:leftChars="0" w:right="0"/>
        <w:jc w:val="both"/>
        <w:rPr>
          <w:rFonts w:hint="eastAsia" w:ascii="Times New Roman" w:hAnsi="Times New Roman" w:eastAsia="仿宋_GB2312" w:cs="Tahoma"/>
          <w:color w:val="auto"/>
          <w:kern w:val="0"/>
          <w:sz w:val="32"/>
          <w:szCs w:val="32"/>
          <w:highlight w:val="none"/>
          <w:lang w:val="en-US" w:eastAsia="zh-CN" w:bidi="ar-SA"/>
        </w:rPr>
      </w:pPr>
    </w:p>
    <w:p>
      <w:pPr>
        <w:keepNext w:val="0"/>
        <w:keepLines w:val="0"/>
        <w:pageBreakBefore w:val="0"/>
        <w:widowControl w:val="0"/>
        <w:wordWrap/>
        <w:overflowPunct/>
        <w:topLinePunct w:val="0"/>
        <w:bidi w:val="0"/>
        <w:spacing w:line="560" w:lineRule="exact"/>
        <w:ind w:left="0" w:leftChars="0" w:right="0"/>
        <w:jc w:val="both"/>
        <w:rPr>
          <w:rFonts w:hint="eastAsia" w:ascii="Times New Roman" w:hAnsi="Times New Roman" w:eastAsia="仿宋_GB2312" w:cs="Tahoma"/>
          <w:color w:val="auto"/>
          <w:kern w:val="0"/>
          <w:sz w:val="32"/>
          <w:szCs w:val="32"/>
          <w:highlight w:val="none"/>
          <w:lang w:val="en-US" w:eastAsia="zh-CN" w:bidi="ar-SA"/>
        </w:rPr>
      </w:pPr>
    </w:p>
    <w:p>
      <w:pPr>
        <w:rPr>
          <w:rFonts w:hint="eastAsia" w:ascii="Times New Roman" w:hAnsi="Times New Roman" w:eastAsia="仿宋_GB2312" w:cs="Tahoma"/>
          <w:color w:val="auto"/>
          <w:kern w:val="0"/>
          <w:sz w:val="32"/>
          <w:szCs w:val="32"/>
          <w:highlight w:val="none"/>
          <w:lang w:val="en-US" w:eastAsia="zh-CN" w:bidi="ar-SA"/>
        </w:rPr>
      </w:pPr>
      <w:r>
        <w:rPr>
          <w:rFonts w:hint="eastAsia" w:ascii="Times New Roman" w:hAnsi="Times New Roman" w:eastAsia="仿宋_GB2312" w:cs="Tahoma"/>
          <w:color w:val="auto"/>
          <w:kern w:val="0"/>
          <w:sz w:val="32"/>
          <w:szCs w:val="32"/>
          <w:highlight w:val="none"/>
          <w:lang w:val="en-US" w:eastAsia="zh-CN" w:bidi="ar-SA"/>
        </w:rPr>
        <w:br w:type="page"/>
      </w:r>
    </w:p>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D890017"/>
    <w:rsid w:val="008869BD"/>
    <w:rsid w:val="01363F20"/>
    <w:rsid w:val="0143330A"/>
    <w:rsid w:val="014B54D9"/>
    <w:rsid w:val="01A81312"/>
    <w:rsid w:val="03797F5F"/>
    <w:rsid w:val="04485655"/>
    <w:rsid w:val="06EC3ADD"/>
    <w:rsid w:val="070A293D"/>
    <w:rsid w:val="07D87C52"/>
    <w:rsid w:val="07DC4941"/>
    <w:rsid w:val="090921FF"/>
    <w:rsid w:val="091E7172"/>
    <w:rsid w:val="0A3255CF"/>
    <w:rsid w:val="0D5B682D"/>
    <w:rsid w:val="0D676C12"/>
    <w:rsid w:val="0D8E7895"/>
    <w:rsid w:val="0DCD3F52"/>
    <w:rsid w:val="0DD44B87"/>
    <w:rsid w:val="0EB9565A"/>
    <w:rsid w:val="0EE969CA"/>
    <w:rsid w:val="127B3457"/>
    <w:rsid w:val="135E528F"/>
    <w:rsid w:val="13F65924"/>
    <w:rsid w:val="151B1422"/>
    <w:rsid w:val="16960CBB"/>
    <w:rsid w:val="16A072E0"/>
    <w:rsid w:val="17075545"/>
    <w:rsid w:val="1765374F"/>
    <w:rsid w:val="183227E1"/>
    <w:rsid w:val="197A69E8"/>
    <w:rsid w:val="19E146AF"/>
    <w:rsid w:val="1A8F5BC3"/>
    <w:rsid w:val="1AF80389"/>
    <w:rsid w:val="1B775377"/>
    <w:rsid w:val="1B914021"/>
    <w:rsid w:val="1BF10434"/>
    <w:rsid w:val="1C081954"/>
    <w:rsid w:val="1F0C2202"/>
    <w:rsid w:val="1F3E6FD6"/>
    <w:rsid w:val="1F91609F"/>
    <w:rsid w:val="20044F0E"/>
    <w:rsid w:val="203C0568"/>
    <w:rsid w:val="20B52F2E"/>
    <w:rsid w:val="211315F1"/>
    <w:rsid w:val="218019E9"/>
    <w:rsid w:val="22573758"/>
    <w:rsid w:val="22714A84"/>
    <w:rsid w:val="22AD3C5A"/>
    <w:rsid w:val="260E78BB"/>
    <w:rsid w:val="26A023E2"/>
    <w:rsid w:val="27152E5C"/>
    <w:rsid w:val="271E6F35"/>
    <w:rsid w:val="27271E08"/>
    <w:rsid w:val="273F7A14"/>
    <w:rsid w:val="27DF25CF"/>
    <w:rsid w:val="293F44B5"/>
    <w:rsid w:val="2AFB660A"/>
    <w:rsid w:val="2B332B8B"/>
    <w:rsid w:val="2B4E4C6D"/>
    <w:rsid w:val="2B613591"/>
    <w:rsid w:val="2B642467"/>
    <w:rsid w:val="2B906F57"/>
    <w:rsid w:val="2C2B3650"/>
    <w:rsid w:val="2C7D4D27"/>
    <w:rsid w:val="2D7361E6"/>
    <w:rsid w:val="2DE87206"/>
    <w:rsid w:val="2E0C7704"/>
    <w:rsid w:val="2EBC6301"/>
    <w:rsid w:val="2F0D1AFF"/>
    <w:rsid w:val="2F48084A"/>
    <w:rsid w:val="300B6148"/>
    <w:rsid w:val="30245828"/>
    <w:rsid w:val="305071B3"/>
    <w:rsid w:val="3082222A"/>
    <w:rsid w:val="30D11065"/>
    <w:rsid w:val="31151D8E"/>
    <w:rsid w:val="311B07C5"/>
    <w:rsid w:val="31812F4B"/>
    <w:rsid w:val="322E6A13"/>
    <w:rsid w:val="34D92A9F"/>
    <w:rsid w:val="3590353E"/>
    <w:rsid w:val="369F3F03"/>
    <w:rsid w:val="37B179FD"/>
    <w:rsid w:val="3A98186A"/>
    <w:rsid w:val="3AB0377A"/>
    <w:rsid w:val="3AB5410F"/>
    <w:rsid w:val="3E8E1DC2"/>
    <w:rsid w:val="3F195DF9"/>
    <w:rsid w:val="3F373681"/>
    <w:rsid w:val="3F513907"/>
    <w:rsid w:val="3FDE1149"/>
    <w:rsid w:val="3FF946C0"/>
    <w:rsid w:val="433E105C"/>
    <w:rsid w:val="43E4198B"/>
    <w:rsid w:val="448C1565"/>
    <w:rsid w:val="449A6512"/>
    <w:rsid w:val="45655237"/>
    <w:rsid w:val="45D94475"/>
    <w:rsid w:val="46482CF0"/>
    <w:rsid w:val="46D5359D"/>
    <w:rsid w:val="48296691"/>
    <w:rsid w:val="48721D69"/>
    <w:rsid w:val="491911C1"/>
    <w:rsid w:val="491E04C0"/>
    <w:rsid w:val="4BF757A4"/>
    <w:rsid w:val="4C975AB3"/>
    <w:rsid w:val="4CD134BA"/>
    <w:rsid w:val="4E9F3FE1"/>
    <w:rsid w:val="50A36082"/>
    <w:rsid w:val="51F31E32"/>
    <w:rsid w:val="520C54C8"/>
    <w:rsid w:val="533315D1"/>
    <w:rsid w:val="54475EF5"/>
    <w:rsid w:val="548C1958"/>
    <w:rsid w:val="563E1CF5"/>
    <w:rsid w:val="56DB49E7"/>
    <w:rsid w:val="571273AE"/>
    <w:rsid w:val="57416063"/>
    <w:rsid w:val="57DA303B"/>
    <w:rsid w:val="5851441E"/>
    <w:rsid w:val="58CA1A8A"/>
    <w:rsid w:val="5AB81932"/>
    <w:rsid w:val="5C474EAF"/>
    <w:rsid w:val="5D1B7529"/>
    <w:rsid w:val="5D417159"/>
    <w:rsid w:val="5D890017"/>
    <w:rsid w:val="5DAB5544"/>
    <w:rsid w:val="5EE12015"/>
    <w:rsid w:val="5F905E83"/>
    <w:rsid w:val="605A7F3E"/>
    <w:rsid w:val="606B6E4A"/>
    <w:rsid w:val="609F4ED1"/>
    <w:rsid w:val="60F56B40"/>
    <w:rsid w:val="612D71D1"/>
    <w:rsid w:val="62E53E6A"/>
    <w:rsid w:val="62F57E0C"/>
    <w:rsid w:val="63BF5020"/>
    <w:rsid w:val="64725291"/>
    <w:rsid w:val="64997873"/>
    <w:rsid w:val="64A40868"/>
    <w:rsid w:val="66F8177F"/>
    <w:rsid w:val="67864E0B"/>
    <w:rsid w:val="685F3B47"/>
    <w:rsid w:val="691A4D32"/>
    <w:rsid w:val="6B0B189B"/>
    <w:rsid w:val="6B595ACC"/>
    <w:rsid w:val="6D6C35A7"/>
    <w:rsid w:val="6D944589"/>
    <w:rsid w:val="6F1C6AAD"/>
    <w:rsid w:val="6FF5101C"/>
    <w:rsid w:val="719C4F53"/>
    <w:rsid w:val="72C8042B"/>
    <w:rsid w:val="73B2656F"/>
    <w:rsid w:val="73B938A7"/>
    <w:rsid w:val="74556AE3"/>
    <w:rsid w:val="745605F1"/>
    <w:rsid w:val="74B83727"/>
    <w:rsid w:val="74C23102"/>
    <w:rsid w:val="771F3075"/>
    <w:rsid w:val="7804494F"/>
    <w:rsid w:val="787F62AE"/>
    <w:rsid w:val="78AE38CF"/>
    <w:rsid w:val="7945336C"/>
    <w:rsid w:val="7AAA4648"/>
    <w:rsid w:val="7AD629E8"/>
    <w:rsid w:val="7B433E8B"/>
    <w:rsid w:val="7C5D4ADC"/>
    <w:rsid w:val="7CF43D4F"/>
    <w:rsid w:val="7DF376C0"/>
    <w:rsid w:val="7DFE3109"/>
    <w:rsid w:val="7E195692"/>
    <w:rsid w:val="7E20441E"/>
    <w:rsid w:val="7E3B0240"/>
    <w:rsid w:val="7F66196A"/>
    <w:rsid w:val="7F6F12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rPr>
      <w:szCs w:val="24"/>
    </w:rPr>
  </w:style>
  <w:style w:type="paragraph" w:styleId="3">
    <w:name w:val="Body Text Indent"/>
    <w:basedOn w:val="1"/>
    <w:next w:val="1"/>
    <w:unhideWhenUsed/>
    <w:qFormat/>
    <w:uiPriority w:val="99"/>
    <w:pPr>
      <w:spacing w:after="120"/>
      <w:ind w:left="420" w:leftChars="200"/>
    </w:pPr>
  </w:style>
  <w:style w:type="table" w:styleId="5">
    <w:name w:val="Table Grid"/>
    <w:qFormat/>
    <w:uiPriority w:val="39"/>
    <w:rPr>
      <w:rFonts w:ascii="Arial Unicode MS" w:hAnsi="Arial Unicode MS" w:eastAsia="仿宋_GB2312" w:cs="Times New Roman"/>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AONormal"/>
    <w:qFormat/>
    <w:uiPriority w:val="0"/>
    <w:pPr>
      <w:spacing w:line="260" w:lineRule="atLeast"/>
    </w:pPr>
    <w:rPr>
      <w:rFonts w:ascii="Times New Roman" w:hAnsi="Times New Roman" w:eastAsia="宋体" w:cs="Times New Roman"/>
      <w:sz w:val="22"/>
      <w:szCs w:val="22"/>
      <w:lang w:val="en-US" w:eastAsia="en-US" w:bidi="ar-SA"/>
    </w:rPr>
  </w:style>
  <w:style w:type="paragraph" w:styleId="8">
    <w:name w:val="List Paragraph"/>
    <w:basedOn w:val="1"/>
    <w:qFormat/>
    <w:uiPriority w:val="34"/>
    <w:pPr>
      <w:widowControl w:val="0"/>
      <w:ind w:firstLine="420" w:firstLineChars="20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四川省国有资产经营投资管理有限责任公司</Company>
  <Pages>1</Pages>
  <Words>0</Words>
  <Characters>0</Characters>
  <Lines>0</Lines>
  <Paragraphs>0</Paragraphs>
  <TotalTime>1</TotalTime>
  <ScaleCrop>false</ScaleCrop>
  <LinksUpToDate>false</LinksUpToDate>
  <CharactersWithSpaces>0</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2022-04-26T06:37:00Z</dcterms:created>
  <dc:creator>罗杨</dc:creator>
  <cp:lastModifiedBy>罗杨</cp:lastModifiedBy>
  <dcterms:modified xsi:type="dcterms:W3CDTF">2022-04-26T06:38:30Z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